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D86E037" wp14:editId="1A547FEA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B63FE" w:rsidRPr="00622CE4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2E42F6">
        <w:rPr>
          <w:rFonts w:ascii="Times New Roman" w:hAnsi="Times New Roman"/>
          <w:sz w:val="24"/>
          <w:szCs w:val="24"/>
        </w:rPr>
        <w:t>400-02</w:t>
      </w:r>
      <w:r w:rsidR="00622CE4" w:rsidRPr="00622CE4">
        <w:rPr>
          <w:rFonts w:ascii="Times New Roman" w:hAnsi="Times New Roman"/>
          <w:sz w:val="24"/>
          <w:szCs w:val="24"/>
        </w:rPr>
        <w:t>/22-01/</w:t>
      </w:r>
      <w:r w:rsidR="00933BA8">
        <w:rPr>
          <w:rFonts w:ascii="Times New Roman" w:hAnsi="Times New Roman"/>
          <w:sz w:val="24"/>
          <w:szCs w:val="24"/>
        </w:rPr>
        <w:t>2</w:t>
      </w:r>
    </w:p>
    <w:p w:rsidR="00BB63FE" w:rsidRPr="00622CE4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2E42F6">
        <w:rPr>
          <w:rFonts w:ascii="Times New Roman" w:hAnsi="Times New Roman"/>
          <w:sz w:val="24"/>
          <w:szCs w:val="24"/>
        </w:rPr>
        <w:t>2133/13-04-22</w:t>
      </w:r>
      <w:r w:rsidR="00622CE4" w:rsidRPr="00622CE4">
        <w:rPr>
          <w:rFonts w:ascii="Times New Roman" w:hAnsi="Times New Roman"/>
          <w:sz w:val="24"/>
          <w:szCs w:val="24"/>
        </w:rPr>
        <w:t>-</w:t>
      </w:r>
      <w:r w:rsidR="007C00D9">
        <w:rPr>
          <w:rFonts w:ascii="Times New Roman" w:hAnsi="Times New Roman"/>
          <w:sz w:val="24"/>
          <w:szCs w:val="24"/>
        </w:rPr>
        <w:t>4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     prosinca 2022. godine</w:t>
      </w:r>
    </w:p>
    <w:p w:rsidR="001544AA" w:rsidRDefault="001544AA" w:rsidP="002E42F6"/>
    <w:p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BB63FE">
        <w:rPr>
          <w:rFonts w:cs="Times New Roman"/>
        </w:rPr>
        <w:t>Na temelju članka 18</w:t>
      </w:r>
      <w:r>
        <w:rPr>
          <w:rFonts w:cs="Times New Roman"/>
        </w:rPr>
        <w:t>. Zakona o proračunu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Pr="00BB63FE">
        <w:rPr>
          <w:rFonts w:cs="Times New Roman"/>
        </w:rPr>
        <w:t xml:space="preserve"> broj 144/21</w:t>
      </w:r>
      <w:r>
        <w:rPr>
          <w:rFonts w:cs="Times New Roman"/>
        </w:rPr>
        <w:t>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>
        <w:rPr>
          <w:rFonts w:cs="Times New Roman"/>
        </w:rPr>
        <w:t xml:space="preserve">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Pr="00BB63FE">
        <w:rPr>
          <w:rFonts w:cs="Times New Roman"/>
        </w:rPr>
        <w:t xml:space="preserve">, na </w:t>
      </w:r>
      <w:r w:rsidR="00622CE4">
        <w:rPr>
          <w:rFonts w:cs="Times New Roman"/>
        </w:rPr>
        <w:t xml:space="preserve">____ </w:t>
      </w:r>
      <w:r w:rsidRPr="00BB63FE">
        <w:rPr>
          <w:rFonts w:cs="Times New Roman"/>
        </w:rPr>
        <w:t>sjednici održanoj dana ______ 2022. godine, donijelo je</w:t>
      </w:r>
    </w:p>
    <w:p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:rsidR="002E42F6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  <w:t xml:space="preserve">o izvršavanju Proračuna Općine Josipdol </w:t>
      </w:r>
      <w:r w:rsidRPr="00BB63FE">
        <w:rPr>
          <w:rFonts w:cs="Times New Roman"/>
          <w:b/>
          <w:bCs/>
        </w:rPr>
        <w:br/>
        <w:t>za 2023. godinu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2703B8">
        <w:rPr>
          <w:rFonts w:cs="Times New Roman"/>
        </w:rPr>
        <w:t xml:space="preserve">Ovom se Odlukom </w:t>
      </w:r>
      <w:r w:rsidR="00D15C26" w:rsidRPr="002703B8">
        <w:rPr>
          <w:rFonts w:cs="Times New Roman"/>
        </w:rPr>
        <w:t>uređuje</w:t>
      </w:r>
      <w:r w:rsidRPr="002703B8">
        <w:rPr>
          <w:rFonts w:cs="Times New Roman"/>
        </w:rPr>
        <w:t xml:space="preserve"> struktura prihoda, primitak</w:t>
      </w:r>
      <w:r w:rsidR="00622CE4">
        <w:rPr>
          <w:rFonts w:cs="Times New Roman"/>
        </w:rPr>
        <w:t xml:space="preserve">a, rashoda i izdataka Proračuna </w:t>
      </w:r>
      <w:r w:rsidRPr="002703B8">
        <w:rPr>
          <w:rFonts w:cs="Times New Roman"/>
        </w:rPr>
        <w:t xml:space="preserve">Općine Josipdol za 2023. godinu (u daljnjem tekstu: Proračun) i njegovo izvršavanje, opseg zaduživanja i jamstava, </w:t>
      </w:r>
      <w:r w:rsidR="00622CE4">
        <w:rPr>
          <w:rFonts w:cs="Times New Roman"/>
        </w:rPr>
        <w:t xml:space="preserve">upravljanje dugom, te </w:t>
      </w:r>
      <w:r w:rsidRPr="002703B8">
        <w:rPr>
          <w:rFonts w:cs="Times New Roman"/>
        </w:rPr>
        <w:t>prava i obveze korisnika proračunskih sredstava, ovlasti Načelnika Općine Josipdol (u daljnjem tekstu: Načelnika) u izvršavanju Proračuna te druga pitanja o izvršavanju Proračuna.</w:t>
      </w:r>
    </w:p>
    <w:p w:rsidR="002E42F6" w:rsidRPr="002E42F6" w:rsidRDefault="002E42F6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2.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430720" w:rsidRPr="00430720" w:rsidRDefault="00430720" w:rsidP="002E42F6">
      <w:pPr>
        <w:pStyle w:val="StandardWeb"/>
        <w:numPr>
          <w:ilvl w:val="0"/>
          <w:numId w:val="3"/>
        </w:numPr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 xml:space="preserve">Proračun se sastoji od Općeg i Posebnog dijela, te Obrazloženja. </w:t>
      </w:r>
    </w:p>
    <w:p w:rsidR="00430720" w:rsidRPr="00430720" w:rsidRDefault="00430720" w:rsidP="002E42F6">
      <w:pPr>
        <w:pStyle w:val="StandardWeb"/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>Opći dio Proračuna sadrži: sažetak Računa prihoda i rashoda i Računa financiranja, Račun prihoda i rashoda i Račun financiranja.</w:t>
      </w:r>
    </w:p>
    <w:p w:rsidR="00430720" w:rsidRPr="00430720" w:rsidRDefault="00622CE4" w:rsidP="002E42F6">
      <w:pPr>
        <w:pStyle w:val="StandardWeb"/>
        <w:spacing w:before="0"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(2) </w:t>
      </w:r>
      <w:r w:rsidR="00430720" w:rsidRPr="00430720">
        <w:rPr>
          <w:rFonts w:cs="Times New Roman"/>
        </w:rPr>
        <w:t>U Računu prihoda i rashoda iskazani su prihodi poslovanja i prihodi od prodaje nefinancijske imovine te rashodi poslovanja i rashodi za nabavu nefinancijske imovine.</w:t>
      </w:r>
      <w:r w:rsidR="00430720">
        <w:rPr>
          <w:rFonts w:cs="Times New Roman"/>
        </w:rPr>
        <w:t xml:space="preserve"> Prihodi i rashodi iskazani su prema izvorima financiranja i ekonomskoj klasifikaciji, a rashodi su iskazani još i prema funkcijskoj klasifikaciji.</w:t>
      </w:r>
    </w:p>
    <w:p w:rsidR="00430720" w:rsidRDefault="00622CE4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(3) </w:t>
      </w:r>
      <w:r w:rsidR="00430720" w:rsidRPr="004B78C5">
        <w:rPr>
          <w:rFonts w:cs="Times New Roman"/>
        </w:rPr>
        <w:t>U Računu financiranja iskazani su primici od financijske imovine i zaduživanja te svi izdaci za financijsku imovinu i otplatu kredita i zajmova prema izvorima financiranja i ekonomskoj klasifikaciji.</w:t>
      </w:r>
    </w:p>
    <w:p w:rsidR="004B78C5" w:rsidRPr="004B78C5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="004B78C5" w:rsidRPr="004B78C5">
        <w:rPr>
          <w:rFonts w:ascii="Times New Roman" w:hAnsi="Times New Roman"/>
          <w:sz w:val="24"/>
          <w:szCs w:val="24"/>
        </w:rPr>
        <w:t>Proračun Općine Josipdol je konsolidirani proračun i sadrži sve prihode, primitke i rashode i izdatke Općine Josipdol i proračunskog korisnika Dječjeg vrtića Josipdol.</w:t>
      </w:r>
    </w:p>
    <w:p w:rsidR="00430720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430720" w:rsidRPr="004B78C5">
        <w:rPr>
          <w:rFonts w:ascii="Times New Roman" w:hAnsi="Times New Roman"/>
          <w:sz w:val="24"/>
          <w:szCs w:val="24"/>
        </w:rPr>
        <w:t xml:space="preserve">Posebni dio Proračuna sastoji se od plana rashoda i izdataka </w:t>
      </w:r>
      <w:r w:rsidR="004B78C5" w:rsidRPr="004B78C5">
        <w:rPr>
          <w:rFonts w:ascii="Times New Roman" w:hAnsi="Times New Roman"/>
          <w:sz w:val="24"/>
          <w:szCs w:val="24"/>
        </w:rPr>
        <w:t xml:space="preserve">proračuna Općine Josipdol i njenog proračunskog korisnika </w:t>
      </w:r>
      <w:r w:rsidR="00430720" w:rsidRPr="004B78C5">
        <w:rPr>
          <w:rFonts w:ascii="Times New Roman" w:hAnsi="Times New Roman"/>
          <w:sz w:val="24"/>
          <w:szCs w:val="24"/>
        </w:rPr>
        <w:t>iskazanih po organizacijskoj  klasifikaciji, izvorima financiranja i ekonomskoj klasifikaciji, raspoređenih u programe koji se sastoje od aktivnosti i projekata.</w:t>
      </w:r>
    </w:p>
    <w:p w:rsidR="002703B8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34F4B">
        <w:rPr>
          <w:rFonts w:ascii="Times New Roman" w:hAnsi="Times New Roman"/>
          <w:sz w:val="24"/>
          <w:szCs w:val="24"/>
        </w:rPr>
        <w:t xml:space="preserve">(6) </w:t>
      </w:r>
      <w:r w:rsidR="002703B8" w:rsidRPr="00434F4B">
        <w:rPr>
          <w:rFonts w:ascii="Times New Roman" w:hAnsi="Times New Roman"/>
          <w:sz w:val="24"/>
          <w:szCs w:val="24"/>
        </w:rPr>
        <w:t xml:space="preserve">Obrazloženje općeg dijela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 sadrži obrazloženje: prihoda i rashoda, primitaka i izdataka i prenesenog </w:t>
      </w:r>
      <w:r w:rsidR="002703B8" w:rsidRPr="00434F4B">
        <w:rPr>
          <w:rFonts w:ascii="Times New Roman" w:hAnsi="Times New Roman"/>
          <w:sz w:val="24"/>
          <w:szCs w:val="24"/>
        </w:rPr>
        <w:t xml:space="preserve">manjka odnosno viška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proračuna. Obrazloženje </w:t>
      </w:r>
      <w:r w:rsidR="002703B8" w:rsidRPr="00622CE4">
        <w:rPr>
          <w:rFonts w:ascii="Times New Roman" w:hAnsi="Times New Roman"/>
          <w:sz w:val="24"/>
          <w:szCs w:val="24"/>
        </w:rPr>
        <w:t xml:space="preserve">posebnog dijela </w:t>
      </w:r>
      <w:r w:rsidR="002703B8" w:rsidRPr="002703B8">
        <w:rPr>
          <w:rFonts w:ascii="Times New Roman" w:hAnsi="Times New Roman"/>
          <w:sz w:val="24"/>
          <w:szCs w:val="24"/>
        </w:rPr>
        <w:t>proračuna temelji se na obrazloženjima financijskog plana proračunskog korisnika, a</w:t>
      </w:r>
      <w:r w:rsidR="002E42F6">
        <w:rPr>
          <w:rFonts w:ascii="Times New Roman" w:hAnsi="Times New Roman"/>
          <w:sz w:val="24"/>
          <w:szCs w:val="24"/>
        </w:rPr>
        <w:t xml:space="preserve"> </w:t>
      </w:r>
      <w:r w:rsidR="002703B8" w:rsidRPr="002703B8">
        <w:rPr>
          <w:rFonts w:ascii="Times New Roman" w:hAnsi="Times New Roman"/>
          <w:sz w:val="24"/>
          <w:szCs w:val="24"/>
        </w:rPr>
        <w:lastRenderedPageBreak/>
        <w:t xml:space="preserve">sastoji se od obrazloženja programa koje se daje kroz obrazloženje </w:t>
      </w:r>
      <w:r w:rsidR="002703B8" w:rsidRPr="00622CE4">
        <w:rPr>
          <w:rFonts w:ascii="Times New Roman" w:hAnsi="Times New Roman"/>
          <w:sz w:val="24"/>
          <w:szCs w:val="24"/>
        </w:rPr>
        <w:t>aktivnosti i projekata zajedno s ciljevima i pokazateljima uspješnosti iz akata strateškog planiranja.</w:t>
      </w:r>
    </w:p>
    <w:p w:rsidR="002E42F6" w:rsidRPr="002E42F6" w:rsidRDefault="002E42F6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42F6" w:rsidRDefault="002703B8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3.</w:t>
      </w:r>
    </w:p>
    <w:p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96F55" w:rsidRDefault="002703B8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6F55">
        <w:rPr>
          <w:rFonts w:ascii="Times New Roman" w:hAnsi="Times New Roman"/>
          <w:sz w:val="24"/>
          <w:szCs w:val="24"/>
        </w:rPr>
        <w:t>Proračunska sredstva koriste se za namjene utvrđene posebnim zakonima, odlukama Op</w:t>
      </w:r>
      <w:r w:rsidR="00796F55">
        <w:rPr>
          <w:rFonts w:ascii="Times New Roman" w:hAnsi="Times New Roman"/>
          <w:sz w:val="24"/>
          <w:szCs w:val="24"/>
        </w:rPr>
        <w:t>ćinskog vijeća i N</w:t>
      </w:r>
      <w:r w:rsidRPr="00796F55">
        <w:rPr>
          <w:rFonts w:ascii="Times New Roman" w:hAnsi="Times New Roman"/>
          <w:sz w:val="24"/>
          <w:szCs w:val="24"/>
        </w:rPr>
        <w:t>ačelnika.</w:t>
      </w:r>
      <w:r w:rsidR="00796F55">
        <w:rPr>
          <w:rFonts w:ascii="Times New Roman" w:hAnsi="Times New Roman"/>
          <w:sz w:val="24"/>
          <w:szCs w:val="24"/>
        </w:rPr>
        <w:t xml:space="preserve"> </w:t>
      </w:r>
      <w:r w:rsidRPr="00796F55">
        <w:rPr>
          <w:rFonts w:ascii="Times New Roman" w:hAnsi="Times New Roman"/>
          <w:sz w:val="24"/>
          <w:szCs w:val="24"/>
        </w:rPr>
        <w:t xml:space="preserve">Svi korisnici proračunskih sredstava moraju ista koristiti za utvrđene namjene štedljivo i racionalno. </w:t>
      </w:r>
    </w:p>
    <w:p w:rsidR="002E42F6" w:rsidRDefault="002E42F6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6F55" w:rsidRDefault="00796F55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4.</w:t>
      </w:r>
    </w:p>
    <w:p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(1) Proračun Općine Josipdol planira se i izvršava kroz sustav riznice putem jedinstvenog novčanog računa preko kojeg se obavljaju sve financijske transakcije Proračuna pri čemu proračunski korisnici nemaju svoje novčane račune. </w:t>
      </w: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(2) Proračunski korisnik Općine Josipdol uključen u sustav riznice su: </w:t>
      </w:r>
    </w:p>
    <w:p w:rsidR="00796F55" w:rsidRDefault="00622CE4" w:rsidP="002E42F6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Dječji vrtić Josipdol. </w:t>
      </w:r>
    </w:p>
    <w:p w:rsidR="002E42F6" w:rsidRPr="002E42F6" w:rsidRDefault="002E42F6" w:rsidP="002E42F6">
      <w:pPr>
        <w:suppressAutoHyphens w:val="0"/>
        <w:autoSpaceDN/>
        <w:spacing w:after="0"/>
        <w:ind w:left="108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796F55" w:rsidRDefault="00796F55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5.</w:t>
      </w:r>
    </w:p>
    <w:p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(1) Vlastiti prihodi koje proračunski korisnici ostvaruju od obavljanja poslova na tržištu i u tržišnim uvjetima služe za pokriće rashoda proračunskih korisnika. </w:t>
      </w:r>
    </w:p>
    <w:p w:rsid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(2) Prihodi iz stavka 1. ovog članka uplaćuju se u proračun. </w:t>
      </w:r>
    </w:p>
    <w:p w:rsid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22CE4" w:rsidRDefault="00622CE4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6.</w:t>
      </w:r>
    </w:p>
    <w:p w:rsidR="002E42F6" w:rsidRPr="002E42F6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(1) Stvarna naplata prihoda nije ograničena procjenom u Proračunu.</w:t>
      </w: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(2) Sredstva se u Proračunu osiguravaju proračunskim korisnicima koji su u njegovom Posebnom dijelu određeni za nositelje sredstava po pojedinim pozicijama.</w:t>
      </w:r>
    </w:p>
    <w:p w:rsid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(3) Proračunska sredstva koristiti će se samo za namjene koje su određene Proračunom, i to do visine utvrđene u njegovom Posebnom dijelu.</w:t>
      </w:r>
    </w:p>
    <w:p w:rsid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42F6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22424">
        <w:rPr>
          <w:rFonts w:ascii="Times New Roman" w:hAnsi="Times New Roman"/>
          <w:b/>
          <w:sz w:val="24"/>
          <w:szCs w:val="24"/>
        </w:rPr>
        <w:t>Članak 7.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Sredstva se proračunskim korisnicima stavljaju na raspolaganje isključivo na osnovu pisanog dokumenta (isprave) iz koje je vidljivo: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namjena odobrena u Proračunu,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iznos stvorene obveze u visini odobrenog iznosa,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obveza likvidirana od nadležne osobe.</w:t>
      </w:r>
    </w:p>
    <w:p w:rsidR="00796F55" w:rsidRPr="002E42F6" w:rsidRDefault="00D22424" w:rsidP="002E42F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42F6">
        <w:rPr>
          <w:rFonts w:ascii="Times New Roman" w:hAnsi="Times New Roman"/>
          <w:sz w:val="24"/>
          <w:szCs w:val="24"/>
        </w:rPr>
        <w:t>Nadležna osoba iz stavka 1. ovog članka je Općinski načelnik, odnosno osoba koju on ovlasti.</w:t>
      </w:r>
    </w:p>
    <w:p w:rsidR="002E42F6" w:rsidRPr="002E42F6" w:rsidRDefault="002E42F6" w:rsidP="002E42F6">
      <w:pPr>
        <w:pStyle w:val="Odlomakpopisa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8.</w:t>
      </w:r>
    </w:p>
    <w:p w:rsidR="002E42F6" w:rsidRPr="002E42F6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Rashodi i izdaci Proračuna koji se financiraju iz namjenskih prihoda i primitaka, izvršavat će se do iznosa naplaćenih prihoda i primitaka za određene namjene, odnosno najviše do iznosa planiranog u posebnom dijelu Proračuna.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Iznimno od odredbe stavka 1. ovog članka, Općinski načelnik može odlučiti da se pojedini rashodi i izdaci pokrivaju i na teret ostalih proračunskih prihoda, a najviše do visine planiranih iznosa.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lastRenderedPageBreak/>
        <w:t>(3) Uplaćeni, a manje planirani namjenski prihodi i primici mogu se izvršavati iznad iznosa utvrđenih u Proračunu, a do iznosa uplaćenih sredstava.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(4) Neplanirani, a uplaćeni namjenski prihodi i primici mogu se koristiti prema naknadno utvrđenim aktivnostima i /ili projektima uz prethodnu suglasnost Općinski načelnika.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(5) Namjenski prihodi i primici koji ne budu  iskorišteni u ovoj proračunskoj godini prenose se u narednu proračunsku godinu.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(6) Sredstva za pokroviteljstva te za aktivnosti i projekte koja se izvršavaju kao subvencije, donacije i pomoći pojedinom korisniku, raspoređuje Općinski načelnik ako krajnji korisnik nije utvrđen u Posebnom dijelu Proračuna, programu javnih potreba ili drugom aktu Općinskog vijeća.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Postupak nabavke roba i usluga provodi se u skladu s Zakonom o javnoj nabavi i  drugim propisima koji reguliraju  postupak nabave roba, usluga i ustupanje radova.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Općina Josipdol može se dugoročno zadužiti samo za investicije koje se financiraju iz Proračuna, a koju potvrdi Općinsko vijeće. </w:t>
      </w:r>
    </w:p>
    <w:p w:rsidR="002E42F6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(2) Odluku o zaduživanju donosi Općinsko vijeće uz prethodnu suglasnost Vlade Republike Hrvatske, a ukupno zaduživanje Općine može iznositi najviše do 20 % ostvarenih izvornih proračunskih prihoda  u prethodnoj godini. 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pStyle w:val="Tijeloteksta"/>
        <w:tabs>
          <w:tab w:val="clear" w:pos="3420"/>
        </w:tabs>
        <w:rPr>
          <w:color w:val="FF0000"/>
        </w:rPr>
      </w:pPr>
      <w:r w:rsidRPr="00D22424">
        <w:tab/>
        <w:t xml:space="preserve">(1) U Proračunu Općine Josipdol planirana su sredstva proračunske zalihe u iznosu od </w:t>
      </w:r>
      <w:r w:rsidR="00434F4B" w:rsidRPr="00434F4B">
        <w:t>2.655,00 eura.</w:t>
      </w:r>
    </w:p>
    <w:p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(2) Sredstva proračunske zalihe</w:t>
      </w:r>
      <w:r>
        <w:t xml:space="preserve"> koriste se u skladu s člankom </w:t>
      </w:r>
      <w:r w:rsidRPr="00D22424">
        <w:t>6</w:t>
      </w:r>
      <w:r>
        <w:t>5</w:t>
      </w:r>
      <w:r w:rsidRPr="00D22424">
        <w:t xml:space="preserve">. Zakona o proračunu (''Narodne novine'', broj </w:t>
      </w:r>
      <w:r>
        <w:t>144/21</w:t>
      </w:r>
      <w:r w:rsidRPr="00D22424">
        <w:t>).</w:t>
      </w:r>
    </w:p>
    <w:p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(3) O korištenju sredstava proračunske zalihe odluku donosi Općinski načelnik.</w:t>
      </w:r>
    </w:p>
    <w:p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(4) Općinski načelnik je obvezan da po isteku mjeseca, odnosno, na prvoj sljedećoj radnoj sjednici Općinskog vijeća izvijesti isto o korištenju sredstava proračunske zalihe.</w:t>
      </w:r>
    </w:p>
    <w:p w:rsidR="00D22424" w:rsidRDefault="00D22424" w:rsidP="002E42F6">
      <w:pPr>
        <w:pStyle w:val="Tijeloteksta"/>
        <w:tabs>
          <w:tab w:val="clear" w:pos="3420"/>
        </w:tabs>
      </w:pPr>
      <w:r w:rsidRPr="00D22424">
        <w:tab/>
        <w:t xml:space="preserve">(5) Sredstva proračunske zalihe ne mogu se koristiti za pozajmljivanje. </w:t>
      </w:r>
    </w:p>
    <w:p w:rsidR="002E42F6" w:rsidRPr="00D22424" w:rsidRDefault="002E42F6" w:rsidP="002E42F6">
      <w:pPr>
        <w:pStyle w:val="Tijeloteksta"/>
        <w:tabs>
          <w:tab w:val="clear" w:pos="3420"/>
        </w:tabs>
      </w:pPr>
    </w:p>
    <w:p w:rsidR="002E42F6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 xml:space="preserve">Članak 12. 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Plaćanje predujmom može se ugovoriti samo iznimno i na temelju prethodne suglasnosti Općinskog načelnika.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Može se plaćati predujmom uz suglasnost iz stavka 1. ovoga članka za obveze preuzete po ugovorima za projekte koji se sufinanciraju iz sredstava Europske unije.</w:t>
      </w:r>
    </w:p>
    <w:p w:rsidR="002E42F6" w:rsidRP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2E42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13.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Općinski načelnik može na prijedlog pročelnika nadležnog upravnog odjela, a sukladno Uredbi o kriterijima, mjerilima i postupku za odgodu plaćanja, obročnu otplatu duga te prodaju, otpis ili djelomičan otpis potraživanja (''Narodne novine'', broj 52/13, 94/14), otpisati ili djelomično otpisati potraživanja, te odobriti odgodu plaćanja duga ili odobriti obročnu otplatu duga po zahtjevu dužnika, uz primjereno osiguranje i kamatu.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lastRenderedPageBreak/>
        <w:t xml:space="preserve">(2) Općinski načelnik može otpisati ili djelomično otpisati potraživanja, ako bi troškovi naplate potraživanja bili u nerazmjeru s visinom potraživanja ili se ustanovi apsolutna nemogućnost naplate. 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Proračunski korisnici iz nadležnosti Općine Josipdol izmjene i dopune financijskih planova donose kada i Općina Josipdol. 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Proračunski korisnici obvezni su redovito podnositi polugodišnja i godišnja izvješća Općinskom načelniku Općine Josipdol koji dostavlja Općinskom vijeću u rokovima propisanim Zakonom o proračunu.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pStyle w:val="Tijeloteksta"/>
        <w:jc w:val="center"/>
        <w:rPr>
          <w:b/>
        </w:rPr>
      </w:pPr>
      <w:r w:rsidRPr="00D22424">
        <w:rPr>
          <w:b/>
        </w:rPr>
        <w:t>Članak 15.</w:t>
      </w:r>
    </w:p>
    <w:p w:rsidR="002E42F6" w:rsidRPr="002E42F6" w:rsidRDefault="002E42F6" w:rsidP="002E42F6">
      <w:pPr>
        <w:pStyle w:val="Tijeloteksta"/>
        <w:jc w:val="center"/>
        <w:rPr>
          <w:b/>
        </w:rPr>
      </w:pPr>
    </w:p>
    <w:p w:rsidR="00D22424" w:rsidRPr="00D22424" w:rsidRDefault="00D22424" w:rsidP="002E42F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Općinski načelnik vrši poslove unutarnjeg nadzora financijskog poslovanja osobno, ili putem osobe koju on ovlasti.</w:t>
      </w:r>
    </w:p>
    <w:p w:rsidR="00D22424" w:rsidRPr="00D22424" w:rsidRDefault="00D22424" w:rsidP="002E42F6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16.</w:t>
      </w:r>
    </w:p>
    <w:p w:rsidR="00D22424" w:rsidRDefault="00D22424" w:rsidP="002E42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ab/>
        <w:t>Ako tijekom godine dođe do znatnije neusklađenosti ostvarivanja planiranih prihoda i primitaka te rashoda i izdataka Proračuna, predložit će se Izmjene i dopune Proračuna radi uravnoteženja, odnosno preraspodjele sredstava.</w:t>
      </w:r>
    </w:p>
    <w:p w:rsidR="002E42F6" w:rsidRPr="00D22424" w:rsidRDefault="002E42F6" w:rsidP="002E42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17.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Proračun se izvršava od 1. siječnja 202</w:t>
      </w:r>
      <w:r>
        <w:rPr>
          <w:rFonts w:ascii="Times New Roman" w:hAnsi="Times New Roman"/>
          <w:sz w:val="24"/>
          <w:szCs w:val="24"/>
        </w:rPr>
        <w:t>3</w:t>
      </w:r>
      <w:r w:rsidRPr="00D22424">
        <w:rPr>
          <w:rFonts w:ascii="Times New Roman" w:hAnsi="Times New Roman"/>
          <w:sz w:val="24"/>
          <w:szCs w:val="24"/>
        </w:rPr>
        <w:t>. do 31. prosinca 202</w:t>
      </w:r>
      <w:r>
        <w:rPr>
          <w:rFonts w:ascii="Times New Roman" w:hAnsi="Times New Roman"/>
          <w:sz w:val="24"/>
          <w:szCs w:val="24"/>
        </w:rPr>
        <w:t>3</w:t>
      </w:r>
      <w:r w:rsidRPr="00D22424">
        <w:rPr>
          <w:rFonts w:ascii="Times New Roman" w:hAnsi="Times New Roman"/>
          <w:sz w:val="24"/>
          <w:szCs w:val="24"/>
        </w:rPr>
        <w:t>. godine.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Samo naplaćeni prihodi u kalendarskoj godini priznaju se kao prihodi Proračuna za 202</w:t>
      </w:r>
      <w:r>
        <w:rPr>
          <w:rFonts w:ascii="Times New Roman" w:hAnsi="Times New Roman"/>
          <w:sz w:val="24"/>
          <w:szCs w:val="24"/>
        </w:rPr>
        <w:t>3</w:t>
      </w:r>
      <w:r w:rsidRPr="00D22424">
        <w:rPr>
          <w:rFonts w:ascii="Times New Roman" w:hAnsi="Times New Roman"/>
          <w:sz w:val="24"/>
          <w:szCs w:val="24"/>
        </w:rPr>
        <w:t xml:space="preserve">. godinu. 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(3) Rashodi za koje je nastala obveza u 202</w:t>
      </w:r>
      <w:r>
        <w:rPr>
          <w:rFonts w:ascii="Times New Roman" w:hAnsi="Times New Roman"/>
          <w:sz w:val="24"/>
          <w:szCs w:val="24"/>
        </w:rPr>
        <w:t>3</w:t>
      </w:r>
      <w:r w:rsidRPr="00D22424">
        <w:rPr>
          <w:rFonts w:ascii="Times New Roman" w:hAnsi="Times New Roman"/>
          <w:sz w:val="24"/>
          <w:szCs w:val="24"/>
        </w:rPr>
        <w:t>. godini rashodi su Proračuna za 202</w:t>
      </w:r>
      <w:r>
        <w:rPr>
          <w:rFonts w:ascii="Times New Roman" w:hAnsi="Times New Roman"/>
          <w:sz w:val="24"/>
          <w:szCs w:val="24"/>
        </w:rPr>
        <w:t>3</w:t>
      </w:r>
      <w:r w:rsidRPr="00D22424">
        <w:rPr>
          <w:rFonts w:ascii="Times New Roman" w:hAnsi="Times New Roman"/>
          <w:sz w:val="24"/>
          <w:szCs w:val="24"/>
        </w:rPr>
        <w:t xml:space="preserve">. godinu, neovisno o plaćanju.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(4) O namjeni viška prihoda odnosno o pokriću manjka prihoda iz prethodne godine odlučuje Općinsko vijeće. 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2E42F6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Hlk22633636"/>
      <w:r w:rsidRPr="00D22424">
        <w:rPr>
          <w:rFonts w:ascii="Times New Roman" w:hAnsi="Times New Roman"/>
          <w:b/>
          <w:sz w:val="24"/>
          <w:szCs w:val="24"/>
        </w:rPr>
        <w:t>Članak 19.</w:t>
      </w:r>
      <w:bookmarkEnd w:id="0"/>
    </w:p>
    <w:p w:rsidR="00D22424" w:rsidRPr="00D22424" w:rsidRDefault="00D22424" w:rsidP="002E42F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Ova Odluka će se objaviti u ''Glasniku Karlovačke županije'', a</w:t>
      </w:r>
      <w:r>
        <w:rPr>
          <w:rFonts w:ascii="Times New Roman" w:hAnsi="Times New Roman"/>
          <w:sz w:val="24"/>
          <w:szCs w:val="24"/>
        </w:rPr>
        <w:t xml:space="preserve"> stupa na snagu 1. siječnja 2023</w:t>
      </w:r>
      <w:r w:rsidRPr="00D22424">
        <w:rPr>
          <w:rFonts w:ascii="Times New Roman" w:hAnsi="Times New Roman"/>
          <w:sz w:val="24"/>
          <w:szCs w:val="24"/>
        </w:rPr>
        <w:t xml:space="preserve">. godine.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Pr="00A377A6" w:rsidRDefault="00A377A6" w:rsidP="00A377A6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eastAsia="Times New Roman" w:hAnsi="Times New Roman"/>
          <w:sz w:val="24"/>
          <w:szCs w:val="24"/>
        </w:rPr>
      </w:pPr>
      <w:r w:rsidRPr="00A377A6">
        <w:rPr>
          <w:rFonts w:ascii="Times New Roman" w:hAnsi="Times New Roman"/>
          <w:b/>
          <w:bCs/>
          <w:sz w:val="24"/>
          <w:szCs w:val="24"/>
        </w:rPr>
        <w:lastRenderedPageBreak/>
        <w:t>O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 xml:space="preserve"> B </w:t>
      </w:r>
      <w:r w:rsidRPr="00A377A6">
        <w:rPr>
          <w:rFonts w:ascii="Times New Roman" w:hAnsi="Times New Roman"/>
          <w:b/>
          <w:bCs/>
          <w:sz w:val="24"/>
          <w:szCs w:val="24"/>
        </w:rPr>
        <w:t>R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A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Z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L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O</w:t>
      </w:r>
      <w:r w:rsidRPr="00A377A6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Ž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E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N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J E</w:t>
      </w:r>
    </w:p>
    <w:p w:rsidR="00A377A6" w:rsidRPr="00A377A6" w:rsidRDefault="00A377A6" w:rsidP="00A377A6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A377A6">
        <w:rPr>
          <w:rFonts w:ascii="Times New Roman" w:hAnsi="Times New Roman"/>
          <w:position w:val="1"/>
          <w:sz w:val="24"/>
          <w:szCs w:val="24"/>
        </w:rPr>
        <w:t>z</w:t>
      </w:r>
      <w:r w:rsidRPr="00A377A6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position w:val="1"/>
          <w:sz w:val="24"/>
          <w:szCs w:val="24"/>
        </w:rPr>
        <w:t>pr</w:t>
      </w:r>
      <w:r w:rsidRPr="00A377A6">
        <w:rPr>
          <w:rFonts w:ascii="Times New Roman" w:hAnsi="Times New Roman"/>
          <w:spacing w:val="-1"/>
          <w:position w:val="1"/>
          <w:sz w:val="24"/>
          <w:szCs w:val="24"/>
        </w:rPr>
        <w:t>i</w:t>
      </w:r>
      <w:r w:rsidRPr="00A377A6">
        <w:rPr>
          <w:rFonts w:ascii="Times New Roman" w:hAnsi="Times New Roman"/>
          <w:position w:val="1"/>
          <w:sz w:val="24"/>
          <w:szCs w:val="24"/>
        </w:rPr>
        <w:t xml:space="preserve">jedlog Odluke o </w:t>
      </w:r>
      <w:r>
        <w:rPr>
          <w:rFonts w:ascii="Times New Roman" w:hAnsi="Times New Roman"/>
          <w:position w:val="1"/>
          <w:sz w:val="24"/>
          <w:szCs w:val="24"/>
        </w:rPr>
        <w:t>izvršavanju Proračuna Općine Josipdol za 2023. godinu</w:t>
      </w:r>
    </w:p>
    <w:p w:rsidR="00A377A6" w:rsidRPr="00A377A6" w:rsidRDefault="00A377A6" w:rsidP="00A377A6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595202" w:rsidRDefault="00A377A6" w:rsidP="00595202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b/>
          <w:bCs/>
          <w:sz w:val="24"/>
          <w:szCs w:val="24"/>
        </w:rPr>
        <w:t>1.</w:t>
      </w:r>
      <w:r w:rsidRPr="00A377A6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A377A6">
        <w:rPr>
          <w:rFonts w:ascii="Times New Roman" w:hAnsi="Times New Roman"/>
          <w:b/>
          <w:bCs/>
          <w:sz w:val="24"/>
          <w:szCs w:val="24"/>
        </w:rPr>
        <w:t>ra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A377A6">
        <w:rPr>
          <w:rFonts w:ascii="Times New Roman" w:hAnsi="Times New Roman"/>
          <w:b/>
          <w:bCs/>
          <w:sz w:val="24"/>
          <w:szCs w:val="24"/>
        </w:rPr>
        <w:t xml:space="preserve">ni 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A377A6">
        <w:rPr>
          <w:rFonts w:ascii="Times New Roman" w:hAnsi="Times New Roman"/>
          <w:b/>
          <w:bCs/>
          <w:sz w:val="24"/>
          <w:szCs w:val="24"/>
        </w:rPr>
        <w:t>em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A377A6">
        <w:rPr>
          <w:rFonts w:ascii="Times New Roman" w:hAnsi="Times New Roman"/>
          <w:b/>
          <w:bCs/>
          <w:sz w:val="24"/>
          <w:szCs w:val="24"/>
        </w:rPr>
        <w:t>j</w:t>
      </w:r>
    </w:p>
    <w:p w:rsidR="00721526" w:rsidRPr="00A377A6" w:rsidRDefault="00721526" w:rsidP="00595202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721526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spacing w:val="1"/>
          <w:sz w:val="24"/>
          <w:szCs w:val="24"/>
        </w:rPr>
        <w:t>P</w:t>
      </w:r>
      <w:r w:rsidRPr="00A377A6">
        <w:rPr>
          <w:rFonts w:ascii="Times New Roman" w:hAnsi="Times New Roman"/>
          <w:sz w:val="24"/>
          <w:szCs w:val="24"/>
        </w:rPr>
        <w:t>ravni t</w:t>
      </w:r>
      <w:r w:rsidRPr="00A377A6">
        <w:rPr>
          <w:rFonts w:ascii="Times New Roman" w:hAnsi="Times New Roman"/>
          <w:spacing w:val="-2"/>
          <w:sz w:val="24"/>
          <w:szCs w:val="24"/>
        </w:rPr>
        <w:t>e</w:t>
      </w:r>
      <w:r w:rsidRPr="00A377A6">
        <w:rPr>
          <w:rFonts w:ascii="Times New Roman" w:hAnsi="Times New Roman"/>
          <w:spacing w:val="1"/>
          <w:sz w:val="24"/>
          <w:szCs w:val="24"/>
        </w:rPr>
        <w:t>m</w:t>
      </w:r>
      <w:r w:rsidRPr="00A377A6">
        <w:rPr>
          <w:rFonts w:ascii="Times New Roman" w:hAnsi="Times New Roman"/>
          <w:sz w:val="24"/>
          <w:szCs w:val="24"/>
        </w:rPr>
        <w:t>elj</w:t>
      </w:r>
      <w:r w:rsidRPr="00A377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z</w:t>
      </w:r>
      <w:r w:rsidRPr="00A377A6">
        <w:rPr>
          <w:rFonts w:ascii="Times New Roman" w:hAnsi="Times New Roman"/>
          <w:sz w:val="24"/>
          <w:szCs w:val="24"/>
        </w:rPr>
        <w:t xml:space="preserve">a 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pacing w:val="-3"/>
          <w:sz w:val="24"/>
          <w:szCs w:val="24"/>
        </w:rPr>
        <w:t>n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šen</w:t>
      </w:r>
      <w:r w:rsidRPr="00A377A6">
        <w:rPr>
          <w:rFonts w:ascii="Times New Roman" w:hAnsi="Times New Roman"/>
          <w:spacing w:val="-3"/>
          <w:sz w:val="24"/>
          <w:szCs w:val="24"/>
        </w:rPr>
        <w:t>j</w:t>
      </w:r>
      <w:r w:rsidRPr="00A377A6">
        <w:rPr>
          <w:rFonts w:ascii="Times New Roman" w:hAnsi="Times New Roman"/>
          <w:sz w:val="24"/>
          <w:szCs w:val="24"/>
        </w:rPr>
        <w:t>e</w:t>
      </w:r>
      <w:r w:rsidRPr="00A377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ov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g</w:t>
      </w:r>
      <w:r w:rsidRPr="00A377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akta</w:t>
      </w:r>
      <w:r w:rsidRPr="00A377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sa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z w:val="24"/>
          <w:szCs w:val="24"/>
        </w:rPr>
        <w:t>r</w:t>
      </w:r>
      <w:r w:rsidRPr="00A377A6">
        <w:rPr>
          <w:rFonts w:ascii="Times New Roman" w:hAnsi="Times New Roman"/>
          <w:spacing w:val="-1"/>
          <w:sz w:val="24"/>
          <w:szCs w:val="24"/>
        </w:rPr>
        <w:t>ž</w:t>
      </w:r>
      <w:r w:rsidRPr="00A377A6">
        <w:rPr>
          <w:rFonts w:ascii="Times New Roman" w:hAnsi="Times New Roman"/>
          <w:sz w:val="24"/>
          <w:szCs w:val="24"/>
        </w:rPr>
        <w:t>an</w:t>
      </w:r>
      <w:r w:rsidRPr="00A377A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je</w:t>
      </w:r>
      <w:r w:rsidRPr="00A377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 xml:space="preserve">u 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z w:val="24"/>
          <w:szCs w:val="24"/>
        </w:rPr>
        <w:t>red</w:t>
      </w:r>
      <w:r w:rsidRPr="00A377A6">
        <w:rPr>
          <w:rFonts w:ascii="Times New Roman" w:hAnsi="Times New Roman"/>
          <w:spacing w:val="-1"/>
          <w:sz w:val="24"/>
          <w:szCs w:val="24"/>
        </w:rPr>
        <w:t>b</w:t>
      </w:r>
      <w:r w:rsidRPr="00A377A6">
        <w:rPr>
          <w:rFonts w:ascii="Times New Roman" w:hAnsi="Times New Roman"/>
          <w:sz w:val="24"/>
          <w:szCs w:val="24"/>
        </w:rPr>
        <w:t>i</w:t>
      </w:r>
      <w:r w:rsidRPr="00A377A6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 xml:space="preserve">članka </w:t>
      </w:r>
      <w:r w:rsidR="00595202">
        <w:rPr>
          <w:rFonts w:ascii="Times New Roman" w:hAnsi="Times New Roman"/>
          <w:spacing w:val="3"/>
          <w:sz w:val="24"/>
          <w:szCs w:val="24"/>
        </w:rPr>
        <w:t>18</w:t>
      </w:r>
      <w:r w:rsidRPr="00A377A6">
        <w:rPr>
          <w:rFonts w:ascii="Times New Roman" w:hAnsi="Times New Roman"/>
          <w:spacing w:val="3"/>
          <w:sz w:val="24"/>
          <w:szCs w:val="24"/>
        </w:rPr>
        <w:t>.</w:t>
      </w:r>
      <w:r w:rsidR="00595202">
        <w:rPr>
          <w:rFonts w:ascii="Times New Roman" w:hAnsi="Times New Roman"/>
          <w:spacing w:val="3"/>
          <w:sz w:val="24"/>
          <w:szCs w:val="24"/>
        </w:rPr>
        <w:t xml:space="preserve"> stavak 1.</w:t>
      </w:r>
      <w:r w:rsidRPr="00A377A6">
        <w:rPr>
          <w:rFonts w:ascii="Times New Roman" w:hAnsi="Times New Roman"/>
          <w:spacing w:val="3"/>
          <w:sz w:val="24"/>
          <w:szCs w:val="24"/>
        </w:rPr>
        <w:t xml:space="preserve"> Zakona o </w:t>
      </w:r>
      <w:r>
        <w:rPr>
          <w:rFonts w:ascii="Times New Roman" w:hAnsi="Times New Roman"/>
          <w:spacing w:val="3"/>
          <w:sz w:val="24"/>
          <w:szCs w:val="24"/>
        </w:rPr>
        <w:t>proračunu (''Narodne novine'', broj 144/21</w:t>
      </w:r>
      <w:r w:rsidRPr="00A377A6">
        <w:rPr>
          <w:rFonts w:ascii="Times New Roman" w:hAnsi="Times New Roman"/>
          <w:spacing w:val="3"/>
          <w:sz w:val="24"/>
          <w:szCs w:val="24"/>
        </w:rPr>
        <w:t>)</w:t>
      </w:r>
      <w:r w:rsidR="00595202">
        <w:rPr>
          <w:rFonts w:ascii="Times New Roman" w:hAnsi="Times New Roman"/>
          <w:spacing w:val="3"/>
          <w:sz w:val="24"/>
          <w:szCs w:val="24"/>
        </w:rPr>
        <w:t xml:space="preserve"> koj</w:t>
      </w:r>
      <w:r w:rsidR="00595202" w:rsidRPr="00595202">
        <w:rPr>
          <w:rFonts w:ascii="Times New Roman" w:hAnsi="Times New Roman"/>
          <w:spacing w:val="3"/>
          <w:sz w:val="24"/>
          <w:szCs w:val="24"/>
        </w:rPr>
        <w:t>im</w:t>
      </w:r>
      <w:r w:rsidR="00595202" w:rsidRPr="00595202">
        <w:rPr>
          <w:rFonts w:ascii="Times New Roman" w:hAnsi="Times New Roman"/>
          <w:sz w:val="24"/>
          <w:szCs w:val="24"/>
        </w:rPr>
        <w:t xml:space="preserve"> je </w:t>
      </w:r>
      <w:r w:rsidR="00595202" w:rsidRPr="00595202">
        <w:rPr>
          <w:rFonts w:ascii="Times New Roman" w:hAnsi="Times New Roman"/>
          <w:sz w:val="24"/>
          <w:szCs w:val="24"/>
        </w:rPr>
        <w:t>propisana</w:t>
      </w:r>
      <w:r w:rsidR="00595202">
        <w:rPr>
          <w:rFonts w:ascii="Times New Roman" w:hAnsi="Times New Roman"/>
          <w:sz w:val="24"/>
          <w:szCs w:val="24"/>
        </w:rPr>
        <w:t xml:space="preserve"> </w:t>
      </w:r>
      <w:r w:rsidR="00BB2118">
        <w:rPr>
          <w:rFonts w:ascii="Times New Roman" w:hAnsi="Times New Roman"/>
          <w:sz w:val="24"/>
          <w:szCs w:val="24"/>
        </w:rPr>
        <w:t>obveza donošenja O</w:t>
      </w:r>
      <w:bookmarkStart w:id="1" w:name="_GoBack"/>
      <w:bookmarkEnd w:id="1"/>
      <w:r w:rsidR="00595202" w:rsidRPr="00595202">
        <w:rPr>
          <w:rFonts w:ascii="Times New Roman" w:hAnsi="Times New Roman"/>
          <w:sz w:val="24"/>
          <w:szCs w:val="24"/>
        </w:rPr>
        <w:t>dluke o izvršavanju proračuna jedinica lokalne i po</w:t>
      </w:r>
      <w:r w:rsidR="00595202">
        <w:rPr>
          <w:rFonts w:ascii="Times New Roman" w:hAnsi="Times New Roman"/>
          <w:sz w:val="24"/>
          <w:szCs w:val="24"/>
        </w:rPr>
        <w:t xml:space="preserve">dručne (regionalne) samouprave i </w:t>
      </w:r>
      <w:r w:rsidRPr="00595202">
        <w:rPr>
          <w:rFonts w:ascii="Times New Roman" w:hAnsi="Times New Roman"/>
          <w:sz w:val="24"/>
          <w:szCs w:val="24"/>
        </w:rPr>
        <w:t>članka 30. Statuta Općine Josipdol</w:t>
      </w:r>
      <w:r w:rsidRPr="00A377A6">
        <w:rPr>
          <w:rFonts w:ascii="Times New Roman" w:hAnsi="Times New Roman"/>
          <w:sz w:val="24"/>
          <w:szCs w:val="24"/>
        </w:rPr>
        <w:t xml:space="preserve"> (''Glasnik Karlovačke Županije'', broj 12/21 i 40/21) k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j</w:t>
      </w:r>
      <w:r w:rsidRPr="00A377A6">
        <w:rPr>
          <w:rFonts w:ascii="Times New Roman" w:hAnsi="Times New Roman"/>
          <w:spacing w:val="-3"/>
          <w:sz w:val="24"/>
          <w:szCs w:val="24"/>
        </w:rPr>
        <w:t>i</w:t>
      </w:r>
      <w:r w:rsidRPr="00A377A6">
        <w:rPr>
          <w:rFonts w:ascii="Times New Roman" w:hAnsi="Times New Roman"/>
          <w:spacing w:val="1"/>
          <w:sz w:val="24"/>
          <w:szCs w:val="24"/>
        </w:rPr>
        <w:t>m</w:t>
      </w:r>
      <w:r w:rsidRPr="00A377A6">
        <w:rPr>
          <w:rFonts w:ascii="Times New Roman" w:hAnsi="Times New Roman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sz w:val="24"/>
          <w:szCs w:val="24"/>
        </w:rPr>
        <w:t>e</w:t>
      </w:r>
      <w:r w:rsidRPr="00A377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p</w:t>
      </w:r>
      <w:r w:rsidRPr="00A377A6">
        <w:rPr>
          <w:rFonts w:ascii="Times New Roman" w:hAnsi="Times New Roman"/>
          <w:sz w:val="24"/>
          <w:szCs w:val="24"/>
        </w:rPr>
        <w:t>r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pacing w:val="-1"/>
          <w:sz w:val="24"/>
          <w:szCs w:val="24"/>
        </w:rPr>
        <w:t>p</w:t>
      </w:r>
      <w:r w:rsidRPr="00A377A6">
        <w:rPr>
          <w:rFonts w:ascii="Times New Roman" w:hAnsi="Times New Roman"/>
          <w:sz w:val="24"/>
          <w:szCs w:val="24"/>
        </w:rPr>
        <w:t>isa</w:t>
      </w:r>
      <w:r w:rsidRPr="00A377A6">
        <w:rPr>
          <w:rFonts w:ascii="Times New Roman" w:hAnsi="Times New Roman"/>
          <w:spacing w:val="-1"/>
          <w:sz w:val="24"/>
          <w:szCs w:val="24"/>
        </w:rPr>
        <w:t>n</w:t>
      </w:r>
      <w:r w:rsidRPr="00A377A6">
        <w:rPr>
          <w:rFonts w:ascii="Times New Roman" w:hAnsi="Times New Roman"/>
          <w:sz w:val="24"/>
          <w:szCs w:val="24"/>
        </w:rPr>
        <w:t>a</w:t>
      </w:r>
      <w:r w:rsidRPr="00A377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na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z w:val="24"/>
          <w:szCs w:val="24"/>
        </w:rPr>
        <w:t>le</w:t>
      </w:r>
      <w:r w:rsidRPr="00A377A6">
        <w:rPr>
          <w:rFonts w:ascii="Times New Roman" w:hAnsi="Times New Roman"/>
          <w:spacing w:val="-3"/>
          <w:sz w:val="24"/>
          <w:szCs w:val="24"/>
        </w:rPr>
        <w:t>ž</w:t>
      </w:r>
      <w:r w:rsidRPr="00A377A6">
        <w:rPr>
          <w:rFonts w:ascii="Times New Roman" w:hAnsi="Times New Roman"/>
          <w:spacing w:val="-1"/>
          <w:sz w:val="24"/>
          <w:szCs w:val="24"/>
        </w:rPr>
        <w:t>n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st</w:t>
      </w:r>
      <w:r w:rsidRPr="00A377A6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A377A6">
        <w:rPr>
          <w:rFonts w:ascii="Times New Roman" w:hAnsi="Times New Roman"/>
          <w:sz w:val="24"/>
          <w:szCs w:val="24"/>
        </w:rPr>
        <w:t>pćin</w:t>
      </w:r>
      <w:r w:rsidRPr="00A377A6">
        <w:rPr>
          <w:rFonts w:ascii="Times New Roman" w:hAnsi="Times New Roman"/>
          <w:spacing w:val="-2"/>
          <w:sz w:val="24"/>
          <w:szCs w:val="24"/>
        </w:rPr>
        <w:t>s</w:t>
      </w:r>
      <w:r w:rsidRPr="00A377A6">
        <w:rPr>
          <w:rFonts w:ascii="Times New Roman" w:hAnsi="Times New Roman"/>
          <w:sz w:val="24"/>
          <w:szCs w:val="24"/>
        </w:rPr>
        <w:t>k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g</w:t>
      </w:r>
      <w:r w:rsidRPr="00A377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1"/>
          <w:sz w:val="24"/>
          <w:szCs w:val="24"/>
        </w:rPr>
        <w:t>v</w:t>
      </w:r>
      <w:r w:rsidRPr="00A377A6">
        <w:rPr>
          <w:rFonts w:ascii="Times New Roman" w:hAnsi="Times New Roman"/>
          <w:sz w:val="24"/>
          <w:szCs w:val="24"/>
        </w:rPr>
        <w:t>i</w:t>
      </w:r>
      <w:r w:rsidRPr="00A377A6">
        <w:rPr>
          <w:rFonts w:ascii="Times New Roman" w:hAnsi="Times New Roman"/>
          <w:spacing w:val="-3"/>
          <w:sz w:val="24"/>
          <w:szCs w:val="24"/>
        </w:rPr>
        <w:t>j</w:t>
      </w:r>
      <w:r w:rsidRPr="00A377A6">
        <w:rPr>
          <w:rFonts w:ascii="Times New Roman" w:hAnsi="Times New Roman"/>
          <w:sz w:val="24"/>
          <w:szCs w:val="24"/>
        </w:rPr>
        <w:t>eća</w:t>
      </w:r>
      <w:r w:rsidRPr="00A377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 xml:space="preserve">Općine Josipdol za 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pacing w:val="-3"/>
          <w:sz w:val="24"/>
          <w:szCs w:val="24"/>
        </w:rPr>
        <w:t>n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šenje</w:t>
      </w:r>
      <w:r w:rsidRPr="00A377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o</w:t>
      </w:r>
      <w:r w:rsidRPr="00A377A6">
        <w:rPr>
          <w:rFonts w:ascii="Times New Roman" w:hAnsi="Times New Roman"/>
          <w:spacing w:val="1"/>
          <w:sz w:val="24"/>
          <w:szCs w:val="24"/>
        </w:rPr>
        <w:t>v</w:t>
      </w:r>
      <w:r w:rsidRPr="00A377A6">
        <w:rPr>
          <w:rFonts w:ascii="Times New Roman" w:hAnsi="Times New Roman"/>
          <w:sz w:val="24"/>
          <w:szCs w:val="24"/>
        </w:rPr>
        <w:t>og</w:t>
      </w:r>
      <w:r w:rsidRPr="00A377A6">
        <w:rPr>
          <w:rFonts w:ascii="Times New Roman" w:hAnsi="Times New Roman"/>
          <w:spacing w:val="-2"/>
          <w:sz w:val="24"/>
          <w:szCs w:val="24"/>
        </w:rPr>
        <w:t xml:space="preserve"> akta</w:t>
      </w:r>
      <w:r w:rsidRPr="00A377A6">
        <w:rPr>
          <w:rFonts w:ascii="Times New Roman" w:hAnsi="Times New Roman"/>
          <w:sz w:val="24"/>
          <w:szCs w:val="24"/>
        </w:rPr>
        <w:t>.</w:t>
      </w:r>
    </w:p>
    <w:p w:rsidR="00721526" w:rsidRPr="00A377A6" w:rsidRDefault="00721526" w:rsidP="00721526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21526" w:rsidRDefault="00A377A6" w:rsidP="00721526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b/>
          <w:bCs/>
          <w:sz w:val="24"/>
          <w:szCs w:val="24"/>
        </w:rPr>
      </w:pPr>
      <w:r w:rsidRPr="00A377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b/>
          <w:bCs/>
          <w:sz w:val="24"/>
          <w:szCs w:val="24"/>
        </w:rPr>
        <w:t>c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b/>
          <w:bCs/>
          <w:sz w:val="24"/>
          <w:szCs w:val="24"/>
        </w:rPr>
        <w:t>ena stan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b/>
          <w:bCs/>
          <w:sz w:val="24"/>
          <w:szCs w:val="24"/>
        </w:rPr>
        <w:t>a, o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A377A6">
        <w:rPr>
          <w:rFonts w:ascii="Times New Roman" w:hAnsi="Times New Roman"/>
          <w:b/>
          <w:bCs/>
          <w:sz w:val="24"/>
          <w:szCs w:val="24"/>
        </w:rPr>
        <w:t>n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A377A6">
        <w:rPr>
          <w:rFonts w:ascii="Times New Roman" w:hAnsi="Times New Roman"/>
          <w:b/>
          <w:bCs/>
          <w:sz w:val="24"/>
          <w:szCs w:val="24"/>
        </w:rPr>
        <w:t>na p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A377A6">
        <w:rPr>
          <w:rFonts w:ascii="Times New Roman" w:hAnsi="Times New Roman"/>
          <w:b/>
          <w:bCs/>
          <w:sz w:val="24"/>
          <w:szCs w:val="24"/>
        </w:rPr>
        <w:t>a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A377A6">
        <w:rPr>
          <w:rFonts w:ascii="Times New Roman" w:hAnsi="Times New Roman"/>
          <w:b/>
          <w:bCs/>
          <w:sz w:val="24"/>
          <w:szCs w:val="24"/>
        </w:rPr>
        <w:t>a ko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b/>
          <w:bCs/>
          <w:sz w:val="24"/>
          <w:szCs w:val="24"/>
        </w:rPr>
        <w:t>a se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u</w:t>
      </w:r>
      <w:r w:rsidRPr="00A377A6">
        <w:rPr>
          <w:rFonts w:ascii="Times New Roman" w:hAnsi="Times New Roman"/>
          <w:b/>
          <w:bCs/>
          <w:sz w:val="24"/>
          <w:szCs w:val="24"/>
        </w:rPr>
        <w:t>re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đ</w:t>
      </w:r>
      <w:r w:rsidRPr="00A377A6">
        <w:rPr>
          <w:rFonts w:ascii="Times New Roman" w:hAnsi="Times New Roman"/>
          <w:b/>
          <w:bCs/>
          <w:sz w:val="24"/>
          <w:szCs w:val="24"/>
        </w:rPr>
        <w:t>u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b/>
          <w:bCs/>
          <w:sz w:val="24"/>
          <w:szCs w:val="24"/>
        </w:rPr>
        <w:t>u o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A377A6">
        <w:rPr>
          <w:rFonts w:ascii="Times New Roman" w:hAnsi="Times New Roman"/>
          <w:b/>
          <w:bCs/>
          <w:sz w:val="24"/>
          <w:szCs w:val="24"/>
        </w:rPr>
        <w:t>im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 xml:space="preserve">aktom, 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A377A6">
        <w:rPr>
          <w:rFonts w:ascii="Times New Roman" w:hAnsi="Times New Roman"/>
          <w:b/>
          <w:bCs/>
          <w:sz w:val="24"/>
          <w:szCs w:val="24"/>
        </w:rPr>
        <w:t>e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s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A377A6">
        <w:rPr>
          <w:rFonts w:ascii="Times New Roman" w:hAnsi="Times New Roman"/>
          <w:b/>
          <w:bCs/>
          <w:sz w:val="24"/>
          <w:szCs w:val="24"/>
        </w:rPr>
        <w:t>rha ko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b/>
          <w:bCs/>
          <w:sz w:val="24"/>
          <w:szCs w:val="24"/>
        </w:rPr>
        <w:t>a se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že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 w:rsidRPr="00A377A6">
        <w:rPr>
          <w:rFonts w:ascii="Times New Roman" w:hAnsi="Times New Roman"/>
          <w:b/>
          <w:bCs/>
          <w:sz w:val="24"/>
          <w:szCs w:val="24"/>
        </w:rPr>
        <w:t>i p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A377A6">
        <w:rPr>
          <w:rFonts w:ascii="Times New Roman" w:hAnsi="Times New Roman"/>
          <w:b/>
          <w:bCs/>
          <w:sz w:val="24"/>
          <w:szCs w:val="24"/>
        </w:rPr>
        <w:t>st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ć</w:t>
      </w:r>
      <w:r w:rsidRPr="00A377A6">
        <w:rPr>
          <w:rFonts w:ascii="Times New Roman" w:hAnsi="Times New Roman"/>
          <w:b/>
          <w:bCs/>
          <w:sz w:val="24"/>
          <w:szCs w:val="24"/>
        </w:rPr>
        <w:t>i</w:t>
      </w:r>
      <w:r w:rsidRPr="00A377A6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ure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đ</w:t>
      </w:r>
      <w:r w:rsidRPr="00A377A6">
        <w:rPr>
          <w:rFonts w:ascii="Times New Roman" w:hAnsi="Times New Roman"/>
          <w:b/>
          <w:bCs/>
          <w:sz w:val="24"/>
          <w:szCs w:val="24"/>
        </w:rPr>
        <w:t>e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A377A6">
        <w:rPr>
          <w:rFonts w:ascii="Times New Roman" w:hAnsi="Times New Roman"/>
          <w:b/>
          <w:bCs/>
          <w:sz w:val="24"/>
          <w:szCs w:val="24"/>
        </w:rPr>
        <w:t>em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o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A377A6">
        <w:rPr>
          <w:rFonts w:ascii="Times New Roman" w:hAnsi="Times New Roman"/>
          <w:b/>
          <w:bCs/>
          <w:sz w:val="24"/>
          <w:szCs w:val="24"/>
        </w:rPr>
        <w:t>o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A377A6">
        <w:rPr>
          <w:rFonts w:ascii="Times New Roman" w:hAnsi="Times New Roman"/>
          <w:b/>
          <w:bCs/>
          <w:sz w:val="24"/>
          <w:szCs w:val="24"/>
        </w:rPr>
        <w:t>a na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pre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d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A377A6">
        <w:rPr>
          <w:rFonts w:ascii="Times New Roman" w:hAnsi="Times New Roman"/>
          <w:b/>
          <w:bCs/>
          <w:sz w:val="24"/>
          <w:szCs w:val="24"/>
        </w:rPr>
        <w:t>ož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A377A6">
        <w:rPr>
          <w:rFonts w:ascii="Times New Roman" w:hAnsi="Times New Roman"/>
          <w:b/>
          <w:bCs/>
          <w:sz w:val="24"/>
          <w:szCs w:val="24"/>
        </w:rPr>
        <w:t>i</w:t>
      </w:r>
      <w:r w:rsidRPr="00A377A6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n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č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A377A6">
        <w:rPr>
          <w:rFonts w:ascii="Times New Roman" w:hAnsi="Times New Roman"/>
          <w:b/>
          <w:bCs/>
          <w:sz w:val="24"/>
          <w:szCs w:val="24"/>
        </w:rPr>
        <w:t>n</w:t>
      </w:r>
    </w:p>
    <w:p w:rsidR="00BB2118" w:rsidRDefault="00BB2118" w:rsidP="00721526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7A6" w:rsidRDefault="00595202" w:rsidP="00BB2118">
      <w:pPr>
        <w:pStyle w:val="StandardWeb"/>
        <w:spacing w:before="0" w:after="0"/>
        <w:jc w:val="both"/>
        <w:rPr>
          <w:rFonts w:cs="Times New Roman"/>
        </w:rPr>
      </w:pPr>
      <w:r w:rsidRPr="00721526">
        <w:rPr>
          <w:rFonts w:cs="Times New Roman"/>
        </w:rPr>
        <w:t xml:space="preserve">Sukladno Zakonu o proračunu, Odlukom o izvršavanju Proračuna </w:t>
      </w:r>
      <w:r w:rsidR="00721526" w:rsidRPr="00721526">
        <w:rPr>
          <w:rFonts w:cs="Times New Roman"/>
        </w:rPr>
        <w:t>Općine Josipdol</w:t>
      </w:r>
      <w:r w:rsidRPr="00721526">
        <w:rPr>
          <w:rFonts w:cs="Times New Roman"/>
        </w:rPr>
        <w:t xml:space="preserve"> za 2023. godinu (u daljnjem tekstu: Odluka) uređuje se struktura prihoda i primitaka te rashoda i izdataka Proračuna i njegovo izvršavanje, </w:t>
      </w:r>
      <w:r w:rsidR="00BB2118" w:rsidRPr="002703B8">
        <w:rPr>
          <w:rFonts w:cs="Times New Roman"/>
        </w:rPr>
        <w:t xml:space="preserve">opseg zaduživanja i jamstava, </w:t>
      </w:r>
      <w:r w:rsidR="00BB2118">
        <w:rPr>
          <w:rFonts w:cs="Times New Roman"/>
        </w:rPr>
        <w:t xml:space="preserve">upravljanje dugom, te </w:t>
      </w:r>
      <w:r w:rsidR="00BB2118" w:rsidRPr="002703B8">
        <w:rPr>
          <w:rFonts w:cs="Times New Roman"/>
        </w:rPr>
        <w:t>prava i obveze korisnika proračunskih sredstava, ov</w:t>
      </w:r>
      <w:r w:rsidR="00BB2118">
        <w:rPr>
          <w:rFonts w:cs="Times New Roman"/>
        </w:rPr>
        <w:t xml:space="preserve">lasti Načelnika Općine Josipdol </w:t>
      </w:r>
      <w:r w:rsidR="00BB2118" w:rsidRPr="002703B8">
        <w:rPr>
          <w:rFonts w:cs="Times New Roman"/>
        </w:rPr>
        <w:t>u izvršavanju Proračuna te druga pitanja o izvršavanju Proračuna.</w:t>
      </w:r>
    </w:p>
    <w:p w:rsidR="00BB2118" w:rsidRPr="00A377A6" w:rsidRDefault="00BB2118" w:rsidP="00BB2118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A377A6" w:rsidRDefault="00A377A6" w:rsidP="00BB2118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sz w:val="24"/>
          <w:szCs w:val="24"/>
        </w:rPr>
        <w:t>Z</w:t>
      </w:r>
      <w:r w:rsidRPr="00A377A6">
        <w:rPr>
          <w:rFonts w:ascii="Times New Roman" w:hAnsi="Times New Roman"/>
          <w:spacing w:val="-1"/>
          <w:sz w:val="24"/>
          <w:szCs w:val="24"/>
        </w:rPr>
        <w:t>b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g</w:t>
      </w:r>
      <w:r w:rsidRPr="00A377A6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n</w:t>
      </w:r>
      <w:r w:rsidRPr="00A377A6">
        <w:rPr>
          <w:rFonts w:ascii="Times New Roman" w:hAnsi="Times New Roman"/>
          <w:sz w:val="24"/>
          <w:szCs w:val="24"/>
        </w:rPr>
        <w:t>a</w:t>
      </w:r>
      <w:r w:rsidRPr="00A377A6">
        <w:rPr>
          <w:rFonts w:ascii="Times New Roman" w:hAnsi="Times New Roman"/>
          <w:spacing w:val="-1"/>
          <w:sz w:val="24"/>
          <w:szCs w:val="24"/>
        </w:rPr>
        <w:t>v</w:t>
      </w:r>
      <w:r w:rsidRPr="00A377A6">
        <w:rPr>
          <w:rFonts w:ascii="Times New Roman" w:hAnsi="Times New Roman"/>
          <w:sz w:val="24"/>
          <w:szCs w:val="24"/>
        </w:rPr>
        <w:t>eden</w:t>
      </w:r>
      <w:r w:rsidRPr="00A377A6">
        <w:rPr>
          <w:rFonts w:ascii="Times New Roman" w:hAnsi="Times New Roman"/>
          <w:spacing w:val="-1"/>
          <w:sz w:val="24"/>
          <w:szCs w:val="24"/>
        </w:rPr>
        <w:t>i</w:t>
      </w:r>
      <w:r w:rsidRPr="00A377A6">
        <w:rPr>
          <w:rFonts w:ascii="Times New Roman" w:hAnsi="Times New Roman"/>
          <w:sz w:val="24"/>
          <w:szCs w:val="24"/>
        </w:rPr>
        <w:t>h</w:t>
      </w:r>
      <w:r w:rsidRPr="00A377A6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ra</w:t>
      </w:r>
      <w:r w:rsidRPr="00A377A6">
        <w:rPr>
          <w:rFonts w:ascii="Times New Roman" w:hAnsi="Times New Roman"/>
          <w:spacing w:val="-1"/>
          <w:sz w:val="24"/>
          <w:szCs w:val="24"/>
        </w:rPr>
        <w:t>z</w:t>
      </w:r>
      <w:r w:rsidRPr="00A377A6">
        <w:rPr>
          <w:rFonts w:ascii="Times New Roman" w:hAnsi="Times New Roman"/>
          <w:spacing w:val="-3"/>
          <w:sz w:val="24"/>
          <w:szCs w:val="24"/>
        </w:rPr>
        <w:t>l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pacing w:val="-1"/>
          <w:sz w:val="24"/>
          <w:szCs w:val="24"/>
        </w:rPr>
        <w:t>g</w:t>
      </w:r>
      <w:r w:rsidRPr="00A377A6">
        <w:rPr>
          <w:rFonts w:ascii="Times New Roman" w:hAnsi="Times New Roman"/>
          <w:sz w:val="24"/>
          <w:szCs w:val="24"/>
        </w:rPr>
        <w:t>a</w:t>
      </w:r>
      <w:r w:rsidRPr="00A377A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3"/>
          <w:sz w:val="24"/>
          <w:szCs w:val="24"/>
        </w:rPr>
        <w:t>p</w:t>
      </w:r>
      <w:r w:rsidRPr="00A377A6">
        <w:rPr>
          <w:rFonts w:ascii="Times New Roman" w:hAnsi="Times New Roman"/>
          <w:sz w:val="24"/>
          <w:szCs w:val="24"/>
        </w:rPr>
        <w:t>red</w:t>
      </w:r>
      <w:r w:rsidRPr="00A377A6">
        <w:rPr>
          <w:rFonts w:ascii="Times New Roman" w:hAnsi="Times New Roman"/>
          <w:spacing w:val="-1"/>
          <w:sz w:val="24"/>
          <w:szCs w:val="24"/>
        </w:rPr>
        <w:t>l</w:t>
      </w:r>
      <w:r w:rsidRPr="00A377A6">
        <w:rPr>
          <w:rFonts w:ascii="Times New Roman" w:hAnsi="Times New Roman"/>
          <w:sz w:val="24"/>
          <w:szCs w:val="24"/>
        </w:rPr>
        <w:t>a</w:t>
      </w:r>
      <w:r w:rsidRPr="00A377A6">
        <w:rPr>
          <w:rFonts w:ascii="Times New Roman" w:hAnsi="Times New Roman"/>
          <w:spacing w:val="-1"/>
          <w:sz w:val="24"/>
          <w:szCs w:val="24"/>
        </w:rPr>
        <w:t>ž</w:t>
      </w:r>
      <w:r w:rsidRPr="00A377A6">
        <w:rPr>
          <w:rFonts w:ascii="Times New Roman" w:hAnsi="Times New Roman"/>
          <w:sz w:val="24"/>
          <w:szCs w:val="24"/>
        </w:rPr>
        <w:t>e</w:t>
      </w:r>
      <w:r w:rsidRPr="00A377A6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se</w:t>
      </w:r>
      <w:r w:rsidRPr="00A377A6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Općins</w:t>
      </w:r>
      <w:r w:rsidRPr="00A377A6">
        <w:rPr>
          <w:rFonts w:ascii="Times New Roman" w:hAnsi="Times New Roman"/>
          <w:spacing w:val="-2"/>
          <w:sz w:val="24"/>
          <w:szCs w:val="24"/>
        </w:rPr>
        <w:t>k</w:t>
      </w:r>
      <w:r w:rsidRPr="00A377A6">
        <w:rPr>
          <w:rFonts w:ascii="Times New Roman" w:hAnsi="Times New Roman"/>
          <w:spacing w:val="-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m</w:t>
      </w:r>
      <w:r w:rsidRPr="00A377A6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1"/>
          <w:sz w:val="24"/>
          <w:szCs w:val="24"/>
        </w:rPr>
        <w:t>v</w:t>
      </w:r>
      <w:r w:rsidRPr="00A377A6">
        <w:rPr>
          <w:rFonts w:ascii="Times New Roman" w:hAnsi="Times New Roman"/>
          <w:sz w:val="24"/>
          <w:szCs w:val="24"/>
        </w:rPr>
        <w:t>ij</w:t>
      </w:r>
      <w:r w:rsidRPr="00A377A6">
        <w:rPr>
          <w:rFonts w:ascii="Times New Roman" w:hAnsi="Times New Roman"/>
          <w:spacing w:val="-2"/>
          <w:sz w:val="24"/>
          <w:szCs w:val="24"/>
        </w:rPr>
        <w:t>eć</w:t>
      </w:r>
      <w:r w:rsidRPr="00A377A6">
        <w:rPr>
          <w:rFonts w:ascii="Times New Roman" w:hAnsi="Times New Roman"/>
          <w:sz w:val="24"/>
          <w:szCs w:val="24"/>
        </w:rPr>
        <w:t>u</w:t>
      </w:r>
      <w:r w:rsidRPr="00A377A6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Općine Josipdol</w:t>
      </w:r>
      <w:r w:rsidRPr="00A377A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z w:val="24"/>
          <w:szCs w:val="24"/>
        </w:rPr>
        <w:t>a</w:t>
      </w:r>
      <w:r w:rsidRPr="00A377A6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3"/>
          <w:sz w:val="24"/>
          <w:szCs w:val="24"/>
        </w:rPr>
        <w:t>r</w:t>
      </w:r>
      <w:r w:rsidRPr="00A377A6">
        <w:rPr>
          <w:rFonts w:ascii="Times New Roman" w:hAnsi="Times New Roman"/>
          <w:sz w:val="24"/>
          <w:szCs w:val="24"/>
        </w:rPr>
        <w:t>as</w:t>
      </w:r>
      <w:r w:rsidRPr="00A377A6">
        <w:rPr>
          <w:rFonts w:ascii="Times New Roman" w:hAnsi="Times New Roman"/>
          <w:spacing w:val="-1"/>
          <w:sz w:val="24"/>
          <w:szCs w:val="24"/>
        </w:rPr>
        <w:t>p</w:t>
      </w:r>
      <w:r w:rsidRPr="00A377A6">
        <w:rPr>
          <w:rFonts w:ascii="Times New Roman" w:hAnsi="Times New Roman"/>
          <w:sz w:val="24"/>
          <w:szCs w:val="24"/>
        </w:rPr>
        <w:t>ravi</w:t>
      </w:r>
      <w:r w:rsidRPr="00A377A6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i</w:t>
      </w:r>
      <w:r w:rsidRPr="00A377A6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u</w:t>
      </w:r>
      <w:r w:rsidRPr="00A377A6">
        <w:rPr>
          <w:rFonts w:ascii="Times New Roman" w:hAnsi="Times New Roman"/>
          <w:sz w:val="24"/>
          <w:szCs w:val="24"/>
        </w:rPr>
        <w:t>s</w:t>
      </w:r>
      <w:r w:rsidRPr="00A377A6">
        <w:rPr>
          <w:rFonts w:ascii="Times New Roman" w:hAnsi="Times New Roman"/>
          <w:spacing w:val="-1"/>
          <w:sz w:val="24"/>
          <w:szCs w:val="24"/>
        </w:rPr>
        <w:t>v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ji</w:t>
      </w:r>
      <w:r w:rsidRPr="00A377A6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3"/>
          <w:sz w:val="24"/>
          <w:szCs w:val="24"/>
        </w:rPr>
        <w:t>d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st</w:t>
      </w:r>
      <w:r w:rsidRPr="00A377A6">
        <w:rPr>
          <w:rFonts w:ascii="Times New Roman" w:hAnsi="Times New Roman"/>
          <w:spacing w:val="-2"/>
          <w:sz w:val="24"/>
          <w:szCs w:val="24"/>
        </w:rPr>
        <w:t>a</w:t>
      </w:r>
      <w:r w:rsidRPr="00A377A6">
        <w:rPr>
          <w:rFonts w:ascii="Times New Roman" w:hAnsi="Times New Roman"/>
          <w:spacing w:val="1"/>
          <w:sz w:val="24"/>
          <w:szCs w:val="24"/>
        </w:rPr>
        <w:t>v</w:t>
      </w:r>
      <w:r w:rsidRPr="00A377A6">
        <w:rPr>
          <w:rFonts w:ascii="Times New Roman" w:hAnsi="Times New Roman"/>
          <w:sz w:val="24"/>
          <w:szCs w:val="24"/>
        </w:rPr>
        <w:t xml:space="preserve">ljeni </w:t>
      </w:r>
      <w:r w:rsidRPr="00A377A6">
        <w:rPr>
          <w:rFonts w:ascii="Times New Roman" w:hAnsi="Times New Roman"/>
          <w:spacing w:val="1"/>
          <w:sz w:val="24"/>
          <w:szCs w:val="24"/>
        </w:rPr>
        <w:t>P</w:t>
      </w:r>
      <w:r w:rsidRPr="00A377A6">
        <w:rPr>
          <w:rFonts w:ascii="Times New Roman" w:hAnsi="Times New Roman"/>
          <w:sz w:val="24"/>
          <w:szCs w:val="24"/>
        </w:rPr>
        <w:t>rije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pacing w:val="-3"/>
          <w:sz w:val="24"/>
          <w:szCs w:val="24"/>
        </w:rPr>
        <w:t>l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g</w:t>
      </w:r>
      <w:r w:rsidRPr="00A377A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B2118">
        <w:rPr>
          <w:rFonts w:ascii="Times New Roman" w:hAnsi="Times New Roman"/>
          <w:sz w:val="24"/>
          <w:szCs w:val="24"/>
        </w:rPr>
        <w:t>akta.</w:t>
      </w:r>
    </w:p>
    <w:p w:rsidR="00BB2118" w:rsidRPr="00A377A6" w:rsidRDefault="00BB2118" w:rsidP="00BB2118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BB2118">
      <w:pPr>
        <w:widowControl w:val="0"/>
        <w:tabs>
          <w:tab w:val="left" w:pos="-6237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 w:rsidRPr="00A377A6">
        <w:rPr>
          <w:rFonts w:ascii="Times New Roman" w:hAnsi="Times New Roman"/>
          <w:b/>
          <w:bCs/>
          <w:sz w:val="24"/>
          <w:szCs w:val="24"/>
        </w:rPr>
        <w:t>. Pr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A377A6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A377A6">
        <w:rPr>
          <w:rFonts w:ascii="Times New Roman" w:hAnsi="Times New Roman"/>
          <w:b/>
          <w:bCs/>
          <w:sz w:val="24"/>
          <w:szCs w:val="24"/>
        </w:rPr>
        <w:t>r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A377A6">
        <w:rPr>
          <w:rFonts w:ascii="Times New Roman" w:hAnsi="Times New Roman"/>
          <w:b/>
          <w:bCs/>
          <w:sz w:val="24"/>
          <w:szCs w:val="24"/>
        </w:rPr>
        <w:t>dst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A377A6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A377A6">
        <w:rPr>
          <w:rFonts w:ascii="Times New Roman" w:hAnsi="Times New Roman"/>
          <w:b/>
          <w:bCs/>
          <w:sz w:val="24"/>
          <w:szCs w:val="24"/>
        </w:rPr>
        <w:t>a po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377A6">
        <w:rPr>
          <w:rFonts w:ascii="Times New Roman" w:hAnsi="Times New Roman"/>
          <w:b/>
          <w:bCs/>
          <w:sz w:val="24"/>
          <w:szCs w:val="24"/>
        </w:rPr>
        <w:t>r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A377A6">
        <w:rPr>
          <w:rFonts w:ascii="Times New Roman" w:hAnsi="Times New Roman"/>
          <w:b/>
          <w:bCs/>
          <w:sz w:val="24"/>
          <w:szCs w:val="24"/>
        </w:rPr>
        <w:t>bnih za pr</w:t>
      </w:r>
      <w:r w:rsidRPr="00A377A6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A377A6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A377A6">
        <w:rPr>
          <w:rFonts w:ascii="Times New Roman" w:hAnsi="Times New Roman"/>
          <w:b/>
          <w:bCs/>
          <w:sz w:val="24"/>
          <w:szCs w:val="24"/>
        </w:rPr>
        <w:t>ođen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b/>
          <w:bCs/>
          <w:sz w:val="24"/>
          <w:szCs w:val="24"/>
        </w:rPr>
        <w:t xml:space="preserve">e akta, </w:t>
      </w:r>
      <w:r w:rsidRPr="00A377A6"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 w:rsidRPr="00A377A6">
        <w:rPr>
          <w:rFonts w:ascii="Times New Roman" w:hAnsi="Times New Roman"/>
          <w:b/>
          <w:bCs/>
          <w:sz w:val="24"/>
          <w:szCs w:val="24"/>
        </w:rPr>
        <w:t>e n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č</w:t>
      </w:r>
      <w:r w:rsidRPr="00A377A6">
        <w:rPr>
          <w:rFonts w:ascii="Times New Roman" w:hAnsi="Times New Roman"/>
          <w:b/>
          <w:bCs/>
          <w:sz w:val="24"/>
          <w:szCs w:val="24"/>
        </w:rPr>
        <w:t>in n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b/>
          <w:bCs/>
          <w:sz w:val="24"/>
          <w:szCs w:val="24"/>
        </w:rPr>
        <w:t>iho</w:t>
      </w:r>
      <w:r w:rsidRPr="00A377A6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A377A6">
        <w:rPr>
          <w:rFonts w:ascii="Times New Roman" w:hAnsi="Times New Roman"/>
          <w:b/>
          <w:bCs/>
          <w:sz w:val="24"/>
          <w:szCs w:val="24"/>
        </w:rPr>
        <w:t>a os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A377A6">
        <w:rPr>
          <w:rFonts w:ascii="Times New Roman" w:hAnsi="Times New Roman"/>
          <w:b/>
          <w:bCs/>
          <w:sz w:val="24"/>
          <w:szCs w:val="24"/>
        </w:rPr>
        <w:t>guran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b/>
          <w:bCs/>
          <w:sz w:val="24"/>
          <w:szCs w:val="24"/>
        </w:rPr>
        <w:t>a</w:t>
      </w:r>
    </w:p>
    <w:p w:rsidR="00BB2118" w:rsidRPr="00A377A6" w:rsidRDefault="00BB2118" w:rsidP="00BB2118">
      <w:pPr>
        <w:widowControl w:val="0"/>
        <w:tabs>
          <w:tab w:val="left" w:pos="-6237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BB2118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sz w:val="24"/>
          <w:szCs w:val="24"/>
        </w:rPr>
        <w:t>Dodatna sredstva u Proračunu Općine Josipdol za ostvarenje predloženog akta nisu potrebna.</w:t>
      </w:r>
    </w:p>
    <w:p w:rsidR="00BB2118" w:rsidRPr="00A377A6" w:rsidRDefault="00BB2118" w:rsidP="00BB2118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BB2118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4</w:t>
      </w:r>
      <w:r w:rsidRPr="00A377A6">
        <w:rPr>
          <w:rFonts w:ascii="Times New Roman" w:hAnsi="Times New Roman"/>
          <w:b/>
          <w:bCs/>
          <w:sz w:val="24"/>
          <w:szCs w:val="24"/>
        </w:rPr>
        <w:t>.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Te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A377A6">
        <w:rPr>
          <w:rFonts w:ascii="Times New Roman" w:hAnsi="Times New Roman"/>
          <w:b/>
          <w:bCs/>
          <w:sz w:val="24"/>
          <w:szCs w:val="24"/>
        </w:rPr>
        <w:t>t pri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A377A6">
        <w:rPr>
          <w:rFonts w:ascii="Times New Roman" w:hAnsi="Times New Roman"/>
          <w:b/>
          <w:bCs/>
          <w:sz w:val="24"/>
          <w:szCs w:val="24"/>
        </w:rPr>
        <w:t>dloga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akta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s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377A6">
        <w:rPr>
          <w:rFonts w:ascii="Times New Roman" w:hAnsi="Times New Roman"/>
          <w:b/>
          <w:bCs/>
          <w:sz w:val="24"/>
          <w:szCs w:val="24"/>
        </w:rPr>
        <w:t>obr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A377A6">
        <w:rPr>
          <w:rFonts w:ascii="Times New Roman" w:hAnsi="Times New Roman"/>
          <w:b/>
          <w:bCs/>
          <w:sz w:val="24"/>
          <w:szCs w:val="24"/>
        </w:rPr>
        <w:t>zlož</w:t>
      </w:r>
      <w:r w:rsidRPr="00A377A6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A377A6">
        <w:rPr>
          <w:rFonts w:ascii="Times New Roman" w:hAnsi="Times New Roman"/>
          <w:b/>
          <w:bCs/>
          <w:sz w:val="24"/>
          <w:szCs w:val="24"/>
        </w:rPr>
        <w:t>n</w:t>
      </w:r>
      <w:r w:rsidRPr="00A377A6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A377A6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377A6">
        <w:rPr>
          <w:rFonts w:ascii="Times New Roman" w:hAnsi="Times New Roman"/>
          <w:b/>
          <w:bCs/>
          <w:sz w:val="24"/>
          <w:szCs w:val="24"/>
        </w:rPr>
        <w:t>m</w:t>
      </w:r>
    </w:p>
    <w:p w:rsidR="00BB2118" w:rsidRPr="00A377A6" w:rsidRDefault="00BB2118" w:rsidP="00BB2118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A377A6" w:rsidRPr="00A377A6" w:rsidRDefault="00A377A6" w:rsidP="00A377A6">
      <w:pPr>
        <w:widowControl w:val="0"/>
        <w:tabs>
          <w:tab w:val="left" w:pos="0"/>
        </w:tabs>
        <w:autoSpaceDE w:val="0"/>
        <w:adjustRightInd w:val="0"/>
        <w:ind w:right="-36"/>
        <w:jc w:val="both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sz w:val="24"/>
          <w:szCs w:val="24"/>
        </w:rPr>
        <w:t>U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p</w:t>
      </w:r>
      <w:r w:rsidRPr="00A377A6">
        <w:rPr>
          <w:rFonts w:ascii="Times New Roman" w:hAnsi="Times New Roman"/>
          <w:sz w:val="24"/>
          <w:szCs w:val="24"/>
        </w:rPr>
        <w:t>ri</w:t>
      </w:r>
      <w:r w:rsidRPr="00A377A6">
        <w:rPr>
          <w:rFonts w:ascii="Times New Roman" w:hAnsi="Times New Roman"/>
          <w:spacing w:val="-1"/>
          <w:sz w:val="24"/>
          <w:szCs w:val="24"/>
        </w:rPr>
        <w:t>l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pacing w:val="-1"/>
          <w:sz w:val="24"/>
          <w:szCs w:val="24"/>
        </w:rPr>
        <w:t>g</w:t>
      </w:r>
      <w:r w:rsidRPr="00A377A6">
        <w:rPr>
          <w:rFonts w:ascii="Times New Roman" w:hAnsi="Times New Roman"/>
          <w:sz w:val="24"/>
          <w:szCs w:val="24"/>
        </w:rPr>
        <w:t>u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se</w:t>
      </w:r>
      <w:r w:rsidRPr="00A377A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sta</w:t>
      </w:r>
      <w:r w:rsidRPr="00A377A6">
        <w:rPr>
          <w:rFonts w:ascii="Times New Roman" w:hAnsi="Times New Roman"/>
          <w:spacing w:val="1"/>
          <w:sz w:val="24"/>
          <w:szCs w:val="24"/>
        </w:rPr>
        <w:t>v</w:t>
      </w:r>
      <w:r w:rsidRPr="00A377A6">
        <w:rPr>
          <w:rFonts w:ascii="Times New Roman" w:hAnsi="Times New Roman"/>
          <w:sz w:val="24"/>
          <w:szCs w:val="24"/>
        </w:rPr>
        <w:t>lja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2"/>
          <w:sz w:val="24"/>
          <w:szCs w:val="24"/>
        </w:rPr>
        <w:t>t</w:t>
      </w:r>
      <w:r w:rsidRPr="00A377A6">
        <w:rPr>
          <w:rFonts w:ascii="Times New Roman" w:hAnsi="Times New Roman"/>
          <w:sz w:val="24"/>
          <w:szCs w:val="24"/>
        </w:rPr>
        <w:t>e</w:t>
      </w:r>
      <w:r w:rsidRPr="00A377A6">
        <w:rPr>
          <w:rFonts w:ascii="Times New Roman" w:hAnsi="Times New Roman"/>
          <w:spacing w:val="1"/>
          <w:sz w:val="24"/>
          <w:szCs w:val="24"/>
        </w:rPr>
        <w:t>k</w:t>
      </w:r>
      <w:r w:rsidRPr="00A377A6">
        <w:rPr>
          <w:rFonts w:ascii="Times New Roman" w:hAnsi="Times New Roman"/>
          <w:spacing w:val="-2"/>
          <w:sz w:val="24"/>
          <w:szCs w:val="24"/>
        </w:rPr>
        <w:t>s</w:t>
      </w:r>
      <w:r w:rsidRPr="00A377A6">
        <w:rPr>
          <w:rFonts w:ascii="Times New Roman" w:hAnsi="Times New Roman"/>
          <w:sz w:val="24"/>
          <w:szCs w:val="24"/>
        </w:rPr>
        <w:t>t</w:t>
      </w:r>
      <w:r w:rsidRPr="00A377A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377A6">
        <w:rPr>
          <w:rFonts w:ascii="Times New Roman" w:hAnsi="Times New Roman"/>
          <w:position w:val="1"/>
          <w:sz w:val="24"/>
          <w:szCs w:val="24"/>
        </w:rPr>
        <w:t>Odluke o vrijednosti boda za obračun komunalne naknade</w:t>
      </w:r>
    </w:p>
    <w:p w:rsidR="00A377A6" w:rsidRPr="00A377A6" w:rsidRDefault="00A377A6" w:rsidP="00A377A6">
      <w:pPr>
        <w:jc w:val="both"/>
        <w:rPr>
          <w:rFonts w:ascii="Times New Roman" w:hAnsi="Times New Roman"/>
          <w:sz w:val="24"/>
          <w:szCs w:val="24"/>
        </w:rPr>
      </w:pPr>
    </w:p>
    <w:p w:rsidR="00A377A6" w:rsidRPr="00A377A6" w:rsidRDefault="00A377A6" w:rsidP="00A377A6">
      <w:pPr>
        <w:jc w:val="both"/>
        <w:rPr>
          <w:rFonts w:ascii="Times New Roman" w:hAnsi="Times New Roman"/>
          <w:sz w:val="24"/>
          <w:szCs w:val="24"/>
        </w:rPr>
      </w:pPr>
    </w:p>
    <w:p w:rsidR="00A377A6" w:rsidRPr="00A377A6" w:rsidRDefault="00A377A6" w:rsidP="00A377A6">
      <w:pPr>
        <w:jc w:val="both"/>
        <w:rPr>
          <w:rFonts w:ascii="Times New Roman" w:hAnsi="Times New Roman"/>
          <w:sz w:val="24"/>
          <w:szCs w:val="24"/>
        </w:rPr>
      </w:pPr>
    </w:p>
    <w:p w:rsidR="00A377A6" w:rsidRPr="00A377A6" w:rsidRDefault="00A377A6" w:rsidP="00A377A6">
      <w:pPr>
        <w:jc w:val="both"/>
        <w:rPr>
          <w:rFonts w:ascii="Times New Roman" w:hAnsi="Times New Roman"/>
          <w:sz w:val="24"/>
          <w:szCs w:val="24"/>
        </w:rPr>
      </w:pPr>
    </w:p>
    <w:p w:rsidR="00A377A6" w:rsidRP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P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P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sectPr w:rsidR="00A37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2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E"/>
    <w:rsid w:val="001544AA"/>
    <w:rsid w:val="002703B8"/>
    <w:rsid w:val="002E42F6"/>
    <w:rsid w:val="00430720"/>
    <w:rsid w:val="00434F4B"/>
    <w:rsid w:val="004B78C5"/>
    <w:rsid w:val="00595202"/>
    <w:rsid w:val="005A1910"/>
    <w:rsid w:val="00622CE4"/>
    <w:rsid w:val="00721526"/>
    <w:rsid w:val="00796F55"/>
    <w:rsid w:val="007C00D9"/>
    <w:rsid w:val="0083612A"/>
    <w:rsid w:val="00933BA8"/>
    <w:rsid w:val="00A377A6"/>
    <w:rsid w:val="00BB2118"/>
    <w:rsid w:val="00BB63FE"/>
    <w:rsid w:val="00D15C26"/>
    <w:rsid w:val="00D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5</cp:revision>
  <dcterms:created xsi:type="dcterms:W3CDTF">2022-11-22T08:23:00Z</dcterms:created>
  <dcterms:modified xsi:type="dcterms:W3CDTF">2022-11-22T10:03:00Z</dcterms:modified>
</cp:coreProperties>
</file>