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5EC" w:rsidRDefault="00D445EC" w:rsidP="00D445EC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5B085C8" wp14:editId="70092C56">
            <wp:extent cx="466728" cy="590546"/>
            <wp:effectExtent l="0" t="0" r="9522" b="4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445EC" w:rsidRDefault="00D445EC" w:rsidP="00D445EC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:rsidR="00D445EC" w:rsidRDefault="00D445EC" w:rsidP="00D445EC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:rsidR="00D445EC" w:rsidRDefault="00D445EC" w:rsidP="00D445EC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:rsidR="00D445EC" w:rsidRDefault="00D445EC" w:rsidP="00D445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DJEČJI VRTIĆ JOSIPDOL</w:t>
      </w:r>
    </w:p>
    <w:p w:rsidR="00D445EC" w:rsidRDefault="00D445EC" w:rsidP="00D445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Karlovačka 17b</w:t>
      </w:r>
    </w:p>
    <w:p w:rsidR="00D445EC" w:rsidRDefault="00D445EC" w:rsidP="00D445EC">
      <w:pPr>
        <w:spacing w:after="0"/>
      </w:pPr>
      <w:r>
        <w:rPr>
          <w:rFonts w:ascii="Times New Roman" w:hAnsi="Times New Roman"/>
          <w:sz w:val="24"/>
          <w:szCs w:val="24"/>
        </w:rPr>
        <w:t>47303 Josipdol</w:t>
      </w:r>
    </w:p>
    <w:p w:rsidR="00D445EC" w:rsidRDefault="00D445EC" w:rsidP="00D445EC"/>
    <w:p w:rsidR="00D445EC" w:rsidRDefault="00D445EC" w:rsidP="00D445EC"/>
    <w:p w:rsidR="00D445EC" w:rsidRDefault="00D445EC" w:rsidP="00D445EC"/>
    <w:p w:rsidR="00D445EC" w:rsidRDefault="00D445EC" w:rsidP="00D445EC"/>
    <w:p w:rsidR="00D445EC" w:rsidRDefault="00D445EC" w:rsidP="00D445EC"/>
    <w:p w:rsidR="00D445EC" w:rsidRDefault="00D445EC" w:rsidP="00D445EC"/>
    <w:p w:rsidR="00D445EC" w:rsidRDefault="00D445EC" w:rsidP="00D445EC"/>
    <w:p w:rsidR="00D445EC" w:rsidRPr="00D445EC" w:rsidRDefault="00D445EC" w:rsidP="00D445EC">
      <w:pPr>
        <w:jc w:val="center"/>
        <w:rPr>
          <w:rFonts w:ascii="Times New Roman" w:hAnsi="Times New Roman"/>
          <w:b/>
          <w:sz w:val="24"/>
          <w:szCs w:val="24"/>
        </w:rPr>
      </w:pPr>
      <w:r w:rsidRPr="00D445EC">
        <w:rPr>
          <w:rFonts w:ascii="Times New Roman" w:hAnsi="Times New Roman"/>
          <w:b/>
          <w:sz w:val="24"/>
          <w:szCs w:val="24"/>
        </w:rPr>
        <w:t>OBRAZLOŽENJE UZ PRIJEDLOG FINANCIJSKOG PLANA ZA 2023. GODINU S PROJEKCIJAMA ZA 2024. I 2025. GODINU</w:t>
      </w:r>
    </w:p>
    <w:p w:rsidR="00D445EC" w:rsidRDefault="00D445EC" w:rsidP="00D445EC">
      <w:pPr>
        <w:rPr>
          <w:b/>
        </w:rPr>
      </w:pPr>
    </w:p>
    <w:p w:rsidR="00D445EC" w:rsidRDefault="00D445EC" w:rsidP="00D445EC">
      <w:pPr>
        <w:rPr>
          <w:b/>
        </w:rPr>
      </w:pPr>
    </w:p>
    <w:p w:rsidR="00D445EC" w:rsidRDefault="00D445EC" w:rsidP="00D445EC">
      <w:pPr>
        <w:rPr>
          <w:b/>
        </w:rPr>
      </w:pPr>
    </w:p>
    <w:p w:rsidR="00D445EC" w:rsidRDefault="00D445EC" w:rsidP="00D445EC">
      <w:pPr>
        <w:rPr>
          <w:b/>
        </w:rPr>
      </w:pPr>
    </w:p>
    <w:p w:rsidR="00D445EC" w:rsidRDefault="00D445EC" w:rsidP="00D445EC">
      <w:pPr>
        <w:rPr>
          <w:b/>
        </w:rPr>
      </w:pPr>
    </w:p>
    <w:p w:rsidR="00D445EC" w:rsidRDefault="00D445EC" w:rsidP="00D445EC">
      <w:pPr>
        <w:rPr>
          <w:b/>
        </w:rPr>
      </w:pPr>
    </w:p>
    <w:p w:rsidR="00D445EC" w:rsidRDefault="00D445EC" w:rsidP="00D445EC">
      <w:pPr>
        <w:rPr>
          <w:b/>
        </w:rPr>
      </w:pPr>
    </w:p>
    <w:p w:rsidR="00D445EC" w:rsidRDefault="00D445EC" w:rsidP="00D445EC">
      <w:pPr>
        <w:rPr>
          <w:b/>
        </w:rPr>
      </w:pPr>
    </w:p>
    <w:p w:rsidR="00D445EC" w:rsidRDefault="00D445EC" w:rsidP="00D445EC">
      <w:pPr>
        <w:rPr>
          <w:b/>
        </w:rPr>
      </w:pPr>
    </w:p>
    <w:p w:rsidR="00D445EC" w:rsidRDefault="00D445EC" w:rsidP="00D445EC">
      <w:pPr>
        <w:rPr>
          <w:b/>
        </w:rPr>
      </w:pPr>
    </w:p>
    <w:p w:rsidR="00D445EC" w:rsidRDefault="00D445EC" w:rsidP="00D445EC">
      <w:pPr>
        <w:rPr>
          <w:b/>
        </w:rPr>
      </w:pPr>
    </w:p>
    <w:p w:rsidR="00D445EC" w:rsidRDefault="00D445EC" w:rsidP="00D445EC">
      <w:pPr>
        <w:rPr>
          <w:b/>
        </w:rPr>
      </w:pPr>
    </w:p>
    <w:p w:rsidR="00D445EC" w:rsidRDefault="00D445EC" w:rsidP="00D445EC">
      <w:pPr>
        <w:rPr>
          <w:b/>
        </w:rPr>
      </w:pPr>
    </w:p>
    <w:p w:rsidR="00D445EC" w:rsidRDefault="00D445EC" w:rsidP="00D445EC">
      <w:pPr>
        <w:rPr>
          <w:b/>
        </w:rPr>
      </w:pPr>
    </w:p>
    <w:p w:rsidR="00D445EC" w:rsidRDefault="00D445EC" w:rsidP="00D445EC">
      <w:pPr>
        <w:rPr>
          <w:b/>
        </w:rPr>
      </w:pPr>
    </w:p>
    <w:p w:rsidR="00D445EC" w:rsidRDefault="00D445EC" w:rsidP="00D445EC">
      <w:pPr>
        <w:jc w:val="center"/>
        <w:rPr>
          <w:rFonts w:ascii="Times New Roman" w:hAnsi="Times New Roman"/>
          <w:sz w:val="24"/>
          <w:szCs w:val="24"/>
        </w:rPr>
      </w:pPr>
      <w:r w:rsidRPr="00D445EC">
        <w:rPr>
          <w:rFonts w:ascii="Times New Roman" w:hAnsi="Times New Roman"/>
          <w:sz w:val="24"/>
          <w:szCs w:val="24"/>
        </w:rPr>
        <w:t>Josipdol, studeni 2022.</w:t>
      </w:r>
    </w:p>
    <w:p w:rsidR="00EB69C9" w:rsidRDefault="00EB69C9" w:rsidP="00D445E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B69C9" w:rsidRDefault="00EB69C9" w:rsidP="00D445E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445EC" w:rsidRDefault="00D445EC" w:rsidP="00D445E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D7F0E">
        <w:rPr>
          <w:rFonts w:ascii="Times New Roman" w:hAnsi="Times New Roman"/>
          <w:b/>
          <w:sz w:val="24"/>
          <w:szCs w:val="24"/>
        </w:rPr>
        <w:lastRenderedPageBreak/>
        <w:t>UVODNI DIO</w:t>
      </w:r>
    </w:p>
    <w:p w:rsidR="00123086" w:rsidRPr="003D7F0E" w:rsidRDefault="00123086" w:rsidP="00D445E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944D8" w:rsidRPr="00123086" w:rsidRDefault="00123086" w:rsidP="00123086">
      <w:pPr>
        <w:suppressAutoHyphens w:val="0"/>
        <w:autoSpaceDN/>
        <w:ind w:firstLine="708"/>
        <w:jc w:val="both"/>
        <w:textAlignment w:val="auto"/>
        <w:rPr>
          <w:rFonts w:ascii="Times New Roman" w:eastAsiaTheme="minorEastAsia" w:hAnsi="Times New Roman"/>
          <w:sz w:val="24"/>
          <w:szCs w:val="24"/>
          <w:lang w:eastAsia="hr-HR"/>
        </w:rPr>
      </w:pPr>
      <w:r w:rsidRPr="00123086">
        <w:rPr>
          <w:rFonts w:ascii="Times New Roman" w:eastAsiaTheme="minorEastAsia" w:hAnsi="Times New Roman"/>
          <w:sz w:val="24"/>
          <w:szCs w:val="24"/>
          <w:lang w:eastAsia="hr-HR"/>
        </w:rPr>
        <w:t xml:space="preserve">Godine 1984. osnovan je Dječji vrtić u </w:t>
      </w:r>
      <w:proofErr w:type="spellStart"/>
      <w:r w:rsidRPr="00123086">
        <w:rPr>
          <w:rFonts w:ascii="Times New Roman" w:eastAsiaTheme="minorEastAsia" w:hAnsi="Times New Roman"/>
          <w:sz w:val="24"/>
          <w:szCs w:val="24"/>
          <w:lang w:eastAsia="hr-HR"/>
        </w:rPr>
        <w:t>Josipdolu</w:t>
      </w:r>
      <w:proofErr w:type="spellEnd"/>
      <w:r w:rsidRPr="00123086">
        <w:rPr>
          <w:rFonts w:ascii="Times New Roman" w:eastAsiaTheme="minorEastAsia" w:hAnsi="Times New Roman"/>
          <w:sz w:val="24"/>
          <w:szCs w:val="24"/>
          <w:lang w:eastAsia="hr-HR"/>
        </w:rPr>
        <w:t>. Za vrijeme domovinskog rata odgojno-obrazovni rad je prekinut. U rujnu 2000. godine Dječji vrtić Josipdol ponovno je otvoren, no zbog nedostatka kapaciteta planira se proširenje.</w:t>
      </w:r>
    </w:p>
    <w:p w:rsidR="00D445EC" w:rsidRDefault="00D445EC" w:rsidP="00D445E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45EC">
        <w:rPr>
          <w:rFonts w:ascii="Times New Roman" w:hAnsi="Times New Roman"/>
          <w:sz w:val="24"/>
          <w:szCs w:val="24"/>
        </w:rPr>
        <w:t xml:space="preserve">Dječji vrtić Josipdol javna je ustanova u kojoj se provodi njega, odgoj, obrazovanje i zaštita djece rane i predškolske dobi. Program Dječjeg vrtića Josipdol temelji se na humanističko-razvojnoj koncepciji ranog odgoja i obrazovanja čime se potiče cjelovit razvoj djeteta i stvaraju uvjeti kvalitetnog i sretnog djetinjstva. Interakcijom roditelja i vrtića, vrtića i šire društvene zajednice želimo odgajati djecu postavljajući im temelje za razvoj u samopouzdane, kreativne, ravnopravne, pravedne i sretne mlade ljude. Programom su obuhvaćena djeca od navršene prve godine života pa do polaska u osnovnu školu. </w:t>
      </w:r>
    </w:p>
    <w:p w:rsidR="00220441" w:rsidRDefault="00D445EC" w:rsidP="0066640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45EC">
        <w:rPr>
          <w:rFonts w:ascii="Times New Roman" w:hAnsi="Times New Roman"/>
          <w:sz w:val="24"/>
          <w:szCs w:val="24"/>
        </w:rPr>
        <w:t xml:space="preserve">Dječji vrtić Josipdol svoju djelatnost obavlja u namjenski </w:t>
      </w:r>
      <w:r w:rsidR="00220441">
        <w:rPr>
          <w:rFonts w:ascii="Times New Roman" w:hAnsi="Times New Roman"/>
          <w:sz w:val="24"/>
          <w:szCs w:val="24"/>
        </w:rPr>
        <w:t xml:space="preserve">sagrađenom objektu na adresi: </w:t>
      </w:r>
      <w:r w:rsidRPr="00D445EC">
        <w:rPr>
          <w:rFonts w:ascii="Times New Roman" w:hAnsi="Times New Roman"/>
          <w:sz w:val="24"/>
          <w:szCs w:val="24"/>
        </w:rPr>
        <w:t>Karlovačka17b, Josipdol-matični objekt i u ad</w:t>
      </w:r>
      <w:r w:rsidR="00220441">
        <w:rPr>
          <w:rFonts w:ascii="Times New Roman" w:hAnsi="Times New Roman"/>
          <w:sz w:val="24"/>
          <w:szCs w:val="24"/>
        </w:rPr>
        <w:t xml:space="preserve">aptiranom prostoru na adresi: </w:t>
      </w:r>
      <w:r w:rsidRPr="00D445EC">
        <w:rPr>
          <w:rFonts w:ascii="Times New Roman" w:hAnsi="Times New Roman"/>
          <w:sz w:val="24"/>
          <w:szCs w:val="24"/>
        </w:rPr>
        <w:t>Oštarije 227, Oštarije-područni objekt „Oštarije“</w:t>
      </w:r>
      <w:r w:rsidR="00220441">
        <w:rPr>
          <w:rFonts w:ascii="Times New Roman" w:hAnsi="Times New Roman"/>
          <w:sz w:val="24"/>
          <w:szCs w:val="24"/>
        </w:rPr>
        <w:t>.</w:t>
      </w:r>
    </w:p>
    <w:p w:rsidR="00220441" w:rsidRDefault="00D445EC" w:rsidP="0022044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45EC">
        <w:rPr>
          <w:rFonts w:ascii="Times New Roman" w:hAnsi="Times New Roman"/>
          <w:sz w:val="24"/>
          <w:szCs w:val="24"/>
        </w:rPr>
        <w:t xml:space="preserve"> U pedagoškoj godini 2022./2023. Dječji vrtić Josipdol u redovitom programu ima sveukupno upisano 92 polaznika, od čega 59-ero u matičnom objektu u </w:t>
      </w:r>
      <w:proofErr w:type="spellStart"/>
      <w:r w:rsidRPr="00D445EC">
        <w:rPr>
          <w:rFonts w:ascii="Times New Roman" w:hAnsi="Times New Roman"/>
          <w:sz w:val="24"/>
          <w:szCs w:val="24"/>
        </w:rPr>
        <w:t>Josipdolu</w:t>
      </w:r>
      <w:proofErr w:type="spellEnd"/>
      <w:r w:rsidRPr="00D445EC">
        <w:rPr>
          <w:rFonts w:ascii="Times New Roman" w:hAnsi="Times New Roman"/>
          <w:sz w:val="24"/>
          <w:szCs w:val="24"/>
        </w:rPr>
        <w:t xml:space="preserve"> i 33 u područni objekt u Oštarije. Neupisano je ostalo 18-ero djece. </w:t>
      </w:r>
    </w:p>
    <w:p w:rsidR="00220441" w:rsidRDefault="00D445EC" w:rsidP="0022044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45EC">
        <w:rPr>
          <w:rFonts w:ascii="Times New Roman" w:hAnsi="Times New Roman"/>
          <w:sz w:val="24"/>
          <w:szCs w:val="24"/>
        </w:rPr>
        <w:t>U jesen 2021. započela je dogradnja i proširenje Dječjeg vrtića Josipdol. Realizacija gradnje provodit će se po fazama. Sve poslove vezano za projektiranje i financiranje dogradnje Dječjeg vrtića J</w:t>
      </w:r>
      <w:r w:rsidR="00220441">
        <w:rPr>
          <w:rFonts w:ascii="Times New Roman" w:hAnsi="Times New Roman"/>
          <w:sz w:val="24"/>
          <w:szCs w:val="24"/>
        </w:rPr>
        <w:t xml:space="preserve">osipdol vodi Općina Josipdol. </w:t>
      </w:r>
    </w:p>
    <w:p w:rsidR="00D445EC" w:rsidRPr="00D445EC" w:rsidRDefault="00D445EC" w:rsidP="0022044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445EC">
        <w:rPr>
          <w:rFonts w:ascii="Times New Roman" w:hAnsi="Times New Roman"/>
          <w:sz w:val="24"/>
          <w:szCs w:val="24"/>
        </w:rPr>
        <w:t>Dok vrtić ne proširi svoj kapacitet i dalje postoji problem s velikim brojem neupisane djece u vrtić i borba da se što veći broj djece zbrine privremenim rješenjima. To svakako nije i najbolje rješenje. Početkom pedagoške godine 2019./2020. adaptiran je prostor stare škole u Oštarijama koji je u vlasništvu Općine Josipdol za potrebe Dječjeg vrtića Josipdol. U tom prostoru ustrojen je područni objekt Dječjeg vrtića Josipdol u Oštarijama sa organizirane dvije odgojno-obrazovne skupine, jednom jasličkom mješovitom i jednom vrtićkom mješovitom odgojno-obrazovnom skupinom</w:t>
      </w:r>
    </w:p>
    <w:p w:rsidR="00D445EC" w:rsidRDefault="00220441" w:rsidP="0022044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20441">
        <w:rPr>
          <w:rFonts w:ascii="Times New Roman" w:hAnsi="Times New Roman"/>
          <w:sz w:val="24"/>
          <w:szCs w:val="24"/>
        </w:rPr>
        <w:t>Redoviti program u Dječjem vrtiću Josipdol-matični objekt odvija se u tri odgojno obrazovne skupine redovitog programa, a djeca mogu koristiti dva oblika korištenja usluga: cjelodnevni 10-satni boravak od 6:00 do 16:00 sati i poludnevni 6-satni boravak od 6:00 do 12:00 sati. Odgojno-obrazovni rad u područnom objektu u Oštarijama odvija se u dvije odgojno-obrazovne skupine redovitog programa, a djeca mogu koristiti dva oblika korištenja usluga: cjelodnevni, 10-satni boravak od 6:00 do 16:00 sati i poludnevni 6-satni boravak od 6:00 do 12:00 sati</w:t>
      </w:r>
      <w:r>
        <w:rPr>
          <w:rFonts w:ascii="Times New Roman" w:hAnsi="Times New Roman"/>
          <w:sz w:val="24"/>
          <w:szCs w:val="24"/>
        </w:rPr>
        <w:t>.</w:t>
      </w:r>
    </w:p>
    <w:p w:rsidR="00220441" w:rsidRDefault="00220441" w:rsidP="0022044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20441">
        <w:rPr>
          <w:rFonts w:ascii="Times New Roman" w:hAnsi="Times New Roman"/>
          <w:sz w:val="24"/>
          <w:szCs w:val="24"/>
        </w:rPr>
        <w:t xml:space="preserve">Člankom 23a Zakona o predškolskom odgoju i obrazovanju (NN94/13), program </w:t>
      </w:r>
      <w:proofErr w:type="spellStart"/>
      <w:r w:rsidRPr="00220441">
        <w:rPr>
          <w:rFonts w:ascii="Times New Roman" w:hAnsi="Times New Roman"/>
          <w:sz w:val="24"/>
          <w:szCs w:val="24"/>
        </w:rPr>
        <w:t>predškole</w:t>
      </w:r>
      <w:proofErr w:type="spellEnd"/>
      <w:r w:rsidRPr="00220441">
        <w:rPr>
          <w:rFonts w:ascii="Times New Roman" w:hAnsi="Times New Roman"/>
          <w:sz w:val="24"/>
          <w:szCs w:val="24"/>
        </w:rPr>
        <w:t xml:space="preserve"> je obvezan za svu djecu u godini dana prije polaska u osnovnu školu. Ove pedagoške godine, ovisno o broju prijavljene djece, rad u </w:t>
      </w:r>
      <w:proofErr w:type="spellStart"/>
      <w:r w:rsidRPr="00220441">
        <w:rPr>
          <w:rFonts w:ascii="Times New Roman" w:hAnsi="Times New Roman"/>
          <w:sz w:val="24"/>
          <w:szCs w:val="24"/>
        </w:rPr>
        <w:t>predškoli</w:t>
      </w:r>
      <w:proofErr w:type="spellEnd"/>
      <w:r w:rsidRPr="00220441">
        <w:rPr>
          <w:rFonts w:ascii="Times New Roman" w:hAnsi="Times New Roman"/>
          <w:sz w:val="24"/>
          <w:szCs w:val="24"/>
        </w:rPr>
        <w:t xml:space="preserve"> organiziran je u dvije odgojne skupine, jedna u </w:t>
      </w:r>
      <w:proofErr w:type="spellStart"/>
      <w:r w:rsidRPr="00220441">
        <w:rPr>
          <w:rFonts w:ascii="Times New Roman" w:hAnsi="Times New Roman"/>
          <w:sz w:val="24"/>
          <w:szCs w:val="24"/>
        </w:rPr>
        <w:t>Josipdolu</w:t>
      </w:r>
      <w:proofErr w:type="spellEnd"/>
      <w:r w:rsidRPr="00220441">
        <w:rPr>
          <w:rFonts w:ascii="Times New Roman" w:hAnsi="Times New Roman"/>
          <w:sz w:val="24"/>
          <w:szCs w:val="24"/>
        </w:rPr>
        <w:t xml:space="preserve"> u prostorijama vrtića, a drugu u prostorijama područnog objekta u Oštarijama. Program je u trajanju od 250 sati, a provodit će se od 1. listopada 2022. do 31.svibnja 2023. </w:t>
      </w:r>
    </w:p>
    <w:p w:rsidR="00220441" w:rsidRDefault="00666404" w:rsidP="0022044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66404">
        <w:rPr>
          <w:rFonts w:ascii="Times New Roman" w:hAnsi="Times New Roman"/>
          <w:sz w:val="24"/>
          <w:szCs w:val="24"/>
        </w:rPr>
        <w:t>Prema Godišnjem planu rada provodit će se i k</w:t>
      </w:r>
      <w:r w:rsidR="00220441" w:rsidRPr="00666404">
        <w:rPr>
          <w:rFonts w:ascii="Times New Roman" w:hAnsi="Times New Roman"/>
          <w:sz w:val="24"/>
          <w:szCs w:val="24"/>
        </w:rPr>
        <w:t>raći programi opće, folklorne</w:t>
      </w:r>
      <w:r w:rsidRPr="00666404">
        <w:rPr>
          <w:rFonts w:ascii="Times New Roman" w:hAnsi="Times New Roman"/>
          <w:sz w:val="24"/>
          <w:szCs w:val="24"/>
        </w:rPr>
        <w:t xml:space="preserve">, engleske i sportske igraonice. </w:t>
      </w:r>
      <w:r w:rsidR="00220441" w:rsidRPr="00666404">
        <w:rPr>
          <w:rFonts w:ascii="Times New Roman" w:hAnsi="Times New Roman"/>
          <w:sz w:val="24"/>
          <w:szCs w:val="24"/>
        </w:rPr>
        <w:t xml:space="preserve">Lako dostupni, kvalitetni sadržaji za djecu predškolske dobi uvijek su dobro došli. Uključivanjem djece u organizirane, stručno vođene aktivnosti pozitivno djelujemo na </w:t>
      </w:r>
      <w:r w:rsidR="00220441" w:rsidRPr="00666404">
        <w:rPr>
          <w:rFonts w:ascii="Times New Roman" w:hAnsi="Times New Roman"/>
          <w:sz w:val="24"/>
          <w:szCs w:val="24"/>
        </w:rPr>
        <w:lastRenderedPageBreak/>
        <w:t>njihov razvoj, oblikovanje svijesti i usvajanje pozitivnih vrijednosti. Indirektno tako djelujemo i na svijest roditelja, a samim time i na cijelu društvenu zajednicu u kojoj živimo.</w:t>
      </w:r>
    </w:p>
    <w:p w:rsidR="009944D8" w:rsidRDefault="009944D8" w:rsidP="00815437">
      <w:pPr>
        <w:pStyle w:val="Bezproreda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944D8">
        <w:rPr>
          <w:rFonts w:ascii="Times New Roman" w:hAnsi="Times New Roman" w:cs="Times New Roman"/>
          <w:sz w:val="24"/>
          <w:szCs w:val="24"/>
          <w:lang w:eastAsia="hr-HR"/>
        </w:rPr>
        <w:t>Kako bi se i dalje mogle zadovoljavati potrebe i interesi djece, kao i potrebe njihovih roditelja, potrebno je osigurati sredstva za materijalne i financijske rashode za potrebe djelatnosti i izdatke za zaposlene.</w:t>
      </w:r>
    </w:p>
    <w:p w:rsidR="003D7F0E" w:rsidRDefault="003D7F0E" w:rsidP="00815437">
      <w:pPr>
        <w:pStyle w:val="Bezproreda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3D7F0E" w:rsidRPr="003D7F0E" w:rsidRDefault="003D7F0E" w:rsidP="00815437">
      <w:pPr>
        <w:pStyle w:val="Bezproreda"/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3D7F0E">
        <w:rPr>
          <w:rFonts w:ascii="Times New Roman" w:hAnsi="Times New Roman" w:cs="Times New Roman"/>
          <w:b/>
          <w:sz w:val="24"/>
          <w:szCs w:val="24"/>
          <w:lang w:eastAsia="hr-HR"/>
        </w:rPr>
        <w:t>OPĆI DIO</w:t>
      </w:r>
    </w:p>
    <w:p w:rsidR="00815437" w:rsidRDefault="009944D8" w:rsidP="00815437">
      <w:pPr>
        <w:jc w:val="both"/>
        <w:rPr>
          <w:rFonts w:ascii="Times New Roman" w:hAnsi="Times New Roman"/>
          <w:bCs/>
          <w:sz w:val="24"/>
          <w:szCs w:val="20"/>
        </w:rPr>
      </w:pPr>
      <w:r>
        <w:rPr>
          <w:bCs/>
          <w:sz w:val="24"/>
          <w:szCs w:val="20"/>
        </w:rPr>
        <w:tab/>
      </w:r>
      <w:r w:rsidRPr="00815437">
        <w:rPr>
          <w:rFonts w:ascii="Times New Roman" w:hAnsi="Times New Roman"/>
          <w:bCs/>
          <w:sz w:val="24"/>
          <w:szCs w:val="20"/>
        </w:rPr>
        <w:t xml:space="preserve">Dječji vrtić Josipdol kao proračunski korisnik Proračuna </w:t>
      </w:r>
      <w:r w:rsidR="00815437">
        <w:rPr>
          <w:rFonts w:ascii="Times New Roman" w:hAnsi="Times New Roman"/>
          <w:bCs/>
          <w:sz w:val="24"/>
          <w:szCs w:val="20"/>
        </w:rPr>
        <w:t>Opć</w:t>
      </w:r>
      <w:r w:rsidRPr="00815437">
        <w:rPr>
          <w:rFonts w:ascii="Times New Roman" w:hAnsi="Times New Roman"/>
          <w:bCs/>
          <w:sz w:val="24"/>
          <w:szCs w:val="20"/>
        </w:rPr>
        <w:t>ine Josipdol za koji Općina osigurava dio sredstava za obavljanje redovne djelatnosti izradio je Fi</w:t>
      </w:r>
      <w:r w:rsidR="00815437">
        <w:rPr>
          <w:rFonts w:ascii="Times New Roman" w:hAnsi="Times New Roman"/>
          <w:bCs/>
          <w:sz w:val="24"/>
          <w:szCs w:val="20"/>
        </w:rPr>
        <w:t>nancijski plan za razdoblje 202</w:t>
      </w:r>
      <w:r w:rsidRPr="00815437">
        <w:rPr>
          <w:rFonts w:ascii="Times New Roman" w:hAnsi="Times New Roman"/>
          <w:bCs/>
          <w:sz w:val="24"/>
          <w:szCs w:val="20"/>
        </w:rPr>
        <w:t>3. do 2025. godine. Financijski plan je akt kojim se procjenjuju prihodi i primici te utvrđuju rashodi i izdaci u skladu s proračunskim klasifikacijama. Donosi se za proračunsku godinu, zajedno s projekcijama za naredne dvije godine, a temeljem:</w:t>
      </w:r>
    </w:p>
    <w:p w:rsidR="00DE719A" w:rsidRPr="00DE719A" w:rsidRDefault="00DE719A" w:rsidP="00DE719A">
      <w:pPr>
        <w:pStyle w:val="Odlomakpopisa"/>
        <w:numPr>
          <w:ilvl w:val="0"/>
          <w:numId w:val="3"/>
        </w:numPr>
        <w:jc w:val="both"/>
        <w:rPr>
          <w:bCs/>
        </w:rPr>
      </w:pPr>
      <w:r w:rsidRPr="00DE719A">
        <w:rPr>
          <w:bCs/>
        </w:rPr>
        <w:t xml:space="preserve">Zakona </w:t>
      </w:r>
      <w:r w:rsidR="00B143A2">
        <w:rPr>
          <w:bCs/>
        </w:rPr>
        <w:t>o proračunu (Narodne novine, broj</w:t>
      </w:r>
      <w:r w:rsidRPr="00DE719A">
        <w:rPr>
          <w:bCs/>
        </w:rPr>
        <w:t xml:space="preserve"> 144/21)</w:t>
      </w:r>
    </w:p>
    <w:p w:rsidR="00815437" w:rsidRPr="00DE719A" w:rsidRDefault="00815437" w:rsidP="00DE719A">
      <w:pPr>
        <w:pStyle w:val="Odlomakpopisa"/>
        <w:numPr>
          <w:ilvl w:val="0"/>
          <w:numId w:val="3"/>
        </w:numPr>
        <w:spacing w:line="216" w:lineRule="auto"/>
      </w:pPr>
      <w:r w:rsidRPr="00DE719A">
        <w:rPr>
          <w:kern w:val="24"/>
        </w:rPr>
        <w:t>Pravilnik o polugodišnjem i godišnjem izvještaju o izvršenj</w:t>
      </w:r>
      <w:r w:rsidR="00B143A2">
        <w:rPr>
          <w:kern w:val="24"/>
        </w:rPr>
        <w:t>u proračuna (Narodne novine, broj</w:t>
      </w:r>
      <w:r w:rsidRPr="00DE719A">
        <w:rPr>
          <w:kern w:val="24"/>
        </w:rPr>
        <w:t> </w:t>
      </w:r>
      <w:hyperlink r:id="rId7" w:history="1">
        <w:r w:rsidRPr="00B143A2">
          <w:rPr>
            <w:rStyle w:val="Hiperveza"/>
            <w:color w:val="auto"/>
            <w:kern w:val="24"/>
            <w:u w:val="none"/>
          </w:rPr>
          <w:t>24/13</w:t>
        </w:r>
      </w:hyperlink>
      <w:r w:rsidRPr="00B143A2">
        <w:rPr>
          <w:kern w:val="24"/>
        </w:rPr>
        <w:t>, </w:t>
      </w:r>
      <w:hyperlink r:id="rId8" w:history="1">
        <w:r w:rsidRPr="00B143A2">
          <w:rPr>
            <w:rStyle w:val="Hiperveza"/>
            <w:color w:val="auto"/>
            <w:kern w:val="24"/>
            <w:u w:val="none"/>
          </w:rPr>
          <w:t>102/17</w:t>
        </w:r>
      </w:hyperlink>
      <w:r w:rsidRPr="00B143A2">
        <w:rPr>
          <w:kern w:val="24"/>
        </w:rPr>
        <w:t>, </w:t>
      </w:r>
      <w:hyperlink r:id="rId9" w:history="1">
        <w:r w:rsidRPr="00B143A2">
          <w:rPr>
            <w:rStyle w:val="Hiperveza"/>
            <w:color w:val="auto"/>
            <w:kern w:val="24"/>
            <w:u w:val="none"/>
          </w:rPr>
          <w:t>1/20</w:t>
        </w:r>
      </w:hyperlink>
      <w:r w:rsidRPr="00B143A2">
        <w:rPr>
          <w:kern w:val="24"/>
        </w:rPr>
        <w:t> i </w:t>
      </w:r>
      <w:hyperlink r:id="rId10" w:history="1">
        <w:r w:rsidRPr="00B143A2">
          <w:rPr>
            <w:rStyle w:val="Hiperveza"/>
            <w:color w:val="auto"/>
            <w:kern w:val="24"/>
            <w:u w:val="none"/>
          </w:rPr>
          <w:t>147/20</w:t>
        </w:r>
      </w:hyperlink>
      <w:r w:rsidRPr="00DE719A">
        <w:rPr>
          <w:kern w:val="24"/>
        </w:rPr>
        <w:t>)</w:t>
      </w:r>
    </w:p>
    <w:p w:rsidR="00815437" w:rsidRPr="00DE719A" w:rsidRDefault="00815437" w:rsidP="00DE719A">
      <w:pPr>
        <w:pStyle w:val="Odlomakpopisa"/>
        <w:numPr>
          <w:ilvl w:val="0"/>
          <w:numId w:val="3"/>
        </w:numPr>
        <w:spacing w:line="216" w:lineRule="auto"/>
      </w:pPr>
      <w:r w:rsidRPr="00DE719A">
        <w:rPr>
          <w:kern w:val="24"/>
        </w:rPr>
        <w:t xml:space="preserve">Pravilnik o financijskom izvještavanju u proračunskom računovodstvu </w:t>
      </w:r>
      <w:r w:rsidR="00B143A2">
        <w:rPr>
          <w:kern w:val="24"/>
        </w:rPr>
        <w:t>(Narodne novine, broj</w:t>
      </w:r>
      <w:r w:rsidRPr="00DE719A">
        <w:rPr>
          <w:kern w:val="24"/>
        </w:rPr>
        <w:t> </w:t>
      </w:r>
      <w:hyperlink r:id="rId11" w:history="1">
        <w:r w:rsidRPr="00B143A2">
          <w:rPr>
            <w:rStyle w:val="Hiperveza"/>
            <w:color w:val="auto"/>
            <w:kern w:val="24"/>
            <w:u w:val="none"/>
          </w:rPr>
          <w:t>3/15</w:t>
        </w:r>
      </w:hyperlink>
      <w:r w:rsidRPr="00B143A2">
        <w:rPr>
          <w:kern w:val="24"/>
        </w:rPr>
        <w:t>, </w:t>
      </w:r>
      <w:hyperlink r:id="rId12" w:history="1">
        <w:r w:rsidRPr="00B143A2">
          <w:rPr>
            <w:rStyle w:val="Hiperveza"/>
            <w:color w:val="auto"/>
            <w:kern w:val="24"/>
            <w:u w:val="none"/>
          </w:rPr>
          <w:t>93/15</w:t>
        </w:r>
      </w:hyperlink>
      <w:r w:rsidRPr="00B143A2">
        <w:rPr>
          <w:kern w:val="24"/>
        </w:rPr>
        <w:t>, </w:t>
      </w:r>
      <w:hyperlink r:id="rId13" w:history="1">
        <w:r w:rsidRPr="00B143A2">
          <w:rPr>
            <w:rStyle w:val="Hiperveza"/>
            <w:color w:val="auto"/>
            <w:kern w:val="24"/>
            <w:u w:val="none"/>
          </w:rPr>
          <w:t>135/15</w:t>
        </w:r>
      </w:hyperlink>
      <w:r w:rsidRPr="00B143A2">
        <w:rPr>
          <w:kern w:val="24"/>
        </w:rPr>
        <w:t>, </w:t>
      </w:r>
      <w:hyperlink r:id="rId14" w:history="1">
        <w:r w:rsidRPr="00B143A2">
          <w:rPr>
            <w:rStyle w:val="Hiperveza"/>
            <w:color w:val="auto"/>
            <w:kern w:val="24"/>
            <w:u w:val="none"/>
          </w:rPr>
          <w:t>2/17</w:t>
        </w:r>
      </w:hyperlink>
      <w:r w:rsidRPr="00B143A2">
        <w:rPr>
          <w:kern w:val="24"/>
        </w:rPr>
        <w:t>, </w:t>
      </w:r>
      <w:hyperlink r:id="rId15" w:history="1">
        <w:r w:rsidRPr="00B143A2">
          <w:rPr>
            <w:rStyle w:val="Hiperveza"/>
            <w:color w:val="auto"/>
            <w:kern w:val="24"/>
            <w:u w:val="none"/>
          </w:rPr>
          <w:t>28/17</w:t>
        </w:r>
      </w:hyperlink>
      <w:r w:rsidRPr="00B143A2">
        <w:rPr>
          <w:kern w:val="24"/>
        </w:rPr>
        <w:t>, </w:t>
      </w:r>
      <w:hyperlink r:id="rId16" w:history="1">
        <w:r w:rsidRPr="00B143A2">
          <w:rPr>
            <w:rStyle w:val="Hiperveza"/>
            <w:color w:val="auto"/>
            <w:kern w:val="24"/>
            <w:u w:val="none"/>
          </w:rPr>
          <w:t>112/18</w:t>
        </w:r>
      </w:hyperlink>
      <w:r w:rsidRPr="00B143A2">
        <w:rPr>
          <w:kern w:val="24"/>
        </w:rPr>
        <w:t> i </w:t>
      </w:r>
      <w:hyperlink r:id="rId17" w:history="1">
        <w:r w:rsidRPr="00B143A2">
          <w:rPr>
            <w:rStyle w:val="Hiperveza"/>
            <w:color w:val="auto"/>
            <w:kern w:val="24"/>
            <w:u w:val="none"/>
          </w:rPr>
          <w:t>126/19</w:t>
        </w:r>
      </w:hyperlink>
      <w:r w:rsidRPr="00DE719A">
        <w:rPr>
          <w:kern w:val="24"/>
        </w:rPr>
        <w:t>)</w:t>
      </w:r>
    </w:p>
    <w:p w:rsidR="00815437" w:rsidRPr="00DE719A" w:rsidRDefault="00815437" w:rsidP="00DE719A">
      <w:pPr>
        <w:pStyle w:val="Odlomakpopisa"/>
        <w:numPr>
          <w:ilvl w:val="0"/>
          <w:numId w:val="3"/>
        </w:numPr>
        <w:spacing w:line="216" w:lineRule="auto"/>
      </w:pPr>
      <w:r w:rsidRPr="00DE719A">
        <w:rPr>
          <w:kern w:val="24"/>
        </w:rPr>
        <w:t>Pravilnik o proračunskim klas</w:t>
      </w:r>
      <w:r w:rsidR="00B143A2">
        <w:rPr>
          <w:kern w:val="24"/>
        </w:rPr>
        <w:t>ifikacijama (Narodne novine, broj</w:t>
      </w:r>
      <w:r w:rsidRPr="00DE719A">
        <w:rPr>
          <w:kern w:val="24"/>
        </w:rPr>
        <w:t> </w:t>
      </w:r>
      <w:hyperlink r:id="rId18" w:history="1">
        <w:r w:rsidRPr="00B143A2">
          <w:rPr>
            <w:rStyle w:val="Hiperveza"/>
            <w:color w:val="auto"/>
            <w:kern w:val="24"/>
            <w:u w:val="none"/>
          </w:rPr>
          <w:t>26/10</w:t>
        </w:r>
      </w:hyperlink>
      <w:r w:rsidRPr="00B143A2">
        <w:rPr>
          <w:kern w:val="24"/>
        </w:rPr>
        <w:t>,</w:t>
      </w:r>
      <w:hyperlink r:id="rId19" w:history="1">
        <w:r w:rsidRPr="00B143A2">
          <w:rPr>
            <w:rStyle w:val="Hiperveza"/>
            <w:color w:val="auto"/>
            <w:kern w:val="24"/>
            <w:u w:val="none"/>
          </w:rPr>
          <w:t>120/13</w:t>
        </w:r>
      </w:hyperlink>
      <w:r w:rsidRPr="00B143A2">
        <w:rPr>
          <w:kern w:val="24"/>
        </w:rPr>
        <w:t> i </w:t>
      </w:r>
      <w:hyperlink r:id="rId20" w:history="1">
        <w:r w:rsidRPr="00B143A2">
          <w:rPr>
            <w:rStyle w:val="Hiperveza"/>
            <w:color w:val="auto"/>
            <w:kern w:val="24"/>
            <w:u w:val="none"/>
          </w:rPr>
          <w:t>1/20</w:t>
        </w:r>
      </w:hyperlink>
      <w:r w:rsidRPr="00DE719A">
        <w:rPr>
          <w:kern w:val="24"/>
        </w:rPr>
        <w:t>)</w:t>
      </w:r>
    </w:p>
    <w:p w:rsidR="00815437" w:rsidRPr="00DE719A" w:rsidRDefault="00815437" w:rsidP="00DE719A">
      <w:pPr>
        <w:pStyle w:val="Odlomakpopisa"/>
        <w:numPr>
          <w:ilvl w:val="0"/>
          <w:numId w:val="3"/>
        </w:numPr>
        <w:spacing w:line="216" w:lineRule="auto"/>
      </w:pPr>
      <w:r w:rsidRPr="00DE719A">
        <w:rPr>
          <w:kern w:val="24"/>
        </w:rPr>
        <w:t>Pravilnik o proračunskom računovodstvu i raču</w:t>
      </w:r>
      <w:r w:rsidR="00B143A2">
        <w:rPr>
          <w:kern w:val="24"/>
        </w:rPr>
        <w:t>nskom planu (Narodne novine, broj</w:t>
      </w:r>
      <w:r w:rsidRPr="00DE719A">
        <w:rPr>
          <w:kern w:val="24"/>
        </w:rPr>
        <w:t> </w:t>
      </w:r>
      <w:hyperlink r:id="rId21" w:history="1">
        <w:r w:rsidRPr="00B143A2">
          <w:rPr>
            <w:rStyle w:val="Hiperveza"/>
            <w:color w:val="auto"/>
            <w:kern w:val="24"/>
            <w:u w:val="none"/>
          </w:rPr>
          <w:t>124/14</w:t>
        </w:r>
      </w:hyperlink>
      <w:r w:rsidRPr="00B143A2">
        <w:rPr>
          <w:kern w:val="24"/>
        </w:rPr>
        <w:t>, </w:t>
      </w:r>
      <w:hyperlink r:id="rId22" w:history="1">
        <w:r w:rsidRPr="00B143A2">
          <w:rPr>
            <w:rStyle w:val="Hiperveza"/>
            <w:color w:val="auto"/>
            <w:kern w:val="24"/>
            <w:u w:val="none"/>
          </w:rPr>
          <w:t>115/15</w:t>
        </w:r>
      </w:hyperlink>
      <w:r w:rsidRPr="00B143A2">
        <w:rPr>
          <w:kern w:val="24"/>
        </w:rPr>
        <w:t>, </w:t>
      </w:r>
      <w:hyperlink r:id="rId23" w:history="1">
        <w:r w:rsidRPr="00B143A2">
          <w:rPr>
            <w:rStyle w:val="Hiperveza"/>
            <w:color w:val="auto"/>
            <w:kern w:val="24"/>
            <w:u w:val="none"/>
          </w:rPr>
          <w:t>87/16</w:t>
        </w:r>
      </w:hyperlink>
      <w:r w:rsidRPr="00B143A2">
        <w:rPr>
          <w:kern w:val="24"/>
        </w:rPr>
        <w:t>, </w:t>
      </w:r>
      <w:hyperlink r:id="rId24" w:history="1">
        <w:r w:rsidRPr="00B143A2">
          <w:rPr>
            <w:rStyle w:val="Hiperveza"/>
            <w:color w:val="auto"/>
            <w:kern w:val="24"/>
            <w:u w:val="none"/>
          </w:rPr>
          <w:t>3/18</w:t>
        </w:r>
      </w:hyperlink>
      <w:r w:rsidRPr="00B143A2">
        <w:rPr>
          <w:kern w:val="24"/>
        </w:rPr>
        <w:t xml:space="preserve">, </w:t>
      </w:r>
      <w:hyperlink r:id="rId25" w:history="1">
        <w:r w:rsidRPr="00B143A2">
          <w:rPr>
            <w:rStyle w:val="Hiperveza"/>
            <w:color w:val="auto"/>
            <w:kern w:val="24"/>
            <w:u w:val="none"/>
          </w:rPr>
          <w:t>126/19</w:t>
        </w:r>
      </w:hyperlink>
      <w:r w:rsidRPr="00B143A2">
        <w:rPr>
          <w:kern w:val="24"/>
        </w:rPr>
        <w:t xml:space="preserve"> i 108/20</w:t>
      </w:r>
      <w:r w:rsidRPr="00DE719A">
        <w:rPr>
          <w:kern w:val="24"/>
        </w:rPr>
        <w:t>)</w:t>
      </w:r>
    </w:p>
    <w:p w:rsidR="009944D8" w:rsidRDefault="00DE719A" w:rsidP="00DE719A">
      <w:pPr>
        <w:pStyle w:val="Odlomakpopisa"/>
        <w:numPr>
          <w:ilvl w:val="0"/>
          <w:numId w:val="3"/>
        </w:numPr>
        <w:spacing w:line="216" w:lineRule="auto"/>
      </w:pPr>
      <w:r w:rsidRPr="00DE719A">
        <w:t>Uputa za izradu proračuna Ministarstva financija  i jedinice lokalne (regionalne) samouprave za razdoblje 2023. -2025.</w:t>
      </w:r>
    </w:p>
    <w:p w:rsidR="00DE719A" w:rsidRPr="00DE719A" w:rsidRDefault="00DE719A" w:rsidP="00DE719A">
      <w:pPr>
        <w:pStyle w:val="Odlomakpopisa"/>
        <w:spacing w:line="216" w:lineRule="auto"/>
      </w:pPr>
    </w:p>
    <w:p w:rsidR="00815437" w:rsidRPr="00815437" w:rsidRDefault="00815437" w:rsidP="00815437">
      <w:pPr>
        <w:shd w:val="clear" w:color="auto" w:fill="FFFFFF"/>
        <w:spacing w:beforeLines="30" w:before="72" w:afterLines="30" w:after="72"/>
        <w:ind w:firstLine="708"/>
        <w:jc w:val="both"/>
        <w:rPr>
          <w:rFonts w:ascii="Times New Roman" w:hAnsi="Times New Roman"/>
          <w:color w:val="9E3611"/>
          <w:sz w:val="24"/>
          <w:szCs w:val="24"/>
        </w:rPr>
      </w:pPr>
      <w:r w:rsidRPr="00815437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Financijski plan proračunskog i izvanproračunskog korisnika sastoji se od plana za proračunsku godinu i projekcija za sljedeće dvije godine te sadrži opći i posebni dio i obrazloženje financijskog plana.</w:t>
      </w: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</w:t>
      </w:r>
      <w:r w:rsidRPr="00815437">
        <w:rPr>
          <w:rFonts w:ascii="Times New Roman" w:hAnsi="Times New Roman"/>
          <w:sz w:val="24"/>
          <w:szCs w:val="24"/>
        </w:rPr>
        <w:t>Financijski plan za 2023</w:t>
      </w:r>
      <w:r w:rsidR="009944D8" w:rsidRPr="00815437">
        <w:rPr>
          <w:rFonts w:ascii="Times New Roman" w:hAnsi="Times New Roman"/>
          <w:sz w:val="24"/>
          <w:szCs w:val="24"/>
        </w:rPr>
        <w:t xml:space="preserve">. godinu usvaja se </w:t>
      </w:r>
      <w:r>
        <w:rPr>
          <w:rFonts w:ascii="Times New Roman" w:hAnsi="Times New Roman"/>
          <w:sz w:val="24"/>
          <w:szCs w:val="24"/>
        </w:rPr>
        <w:t>na razini skupine ekonomske klasifikacije (druga razina računskog plana)</w:t>
      </w:r>
      <w:r w:rsidR="009944D8" w:rsidRPr="00815437">
        <w:rPr>
          <w:rFonts w:ascii="Times New Roman" w:hAnsi="Times New Roman"/>
          <w:sz w:val="24"/>
          <w:szCs w:val="24"/>
        </w:rPr>
        <w:t xml:space="preserve">, </w:t>
      </w:r>
      <w:r w:rsidRPr="00815437">
        <w:rPr>
          <w:rFonts w:ascii="Times New Roman" w:hAnsi="Times New Roman"/>
          <w:sz w:val="24"/>
          <w:szCs w:val="24"/>
        </w:rPr>
        <w:t xml:space="preserve">isto kao i za 2024. i 2025. godinu. </w:t>
      </w:r>
      <w:r w:rsidRPr="00815437">
        <w:rPr>
          <w:rFonts w:ascii="Times New Roman" w:hAnsi="Times New Roman"/>
          <w:color w:val="000000"/>
          <w:kern w:val="24"/>
          <w:sz w:val="24"/>
          <w:szCs w:val="24"/>
        </w:rPr>
        <w:t>Navedeno je novost u ovom proračunskom ciklusu i razlika od prethodnih godina, kada se plan za proračunsku godinu iskazivao na razini podskupine ekonomske klasifikacije, a projekcije na razini skupine ekonomske klasifikacije.</w:t>
      </w:r>
    </w:p>
    <w:p w:rsidR="009944D8" w:rsidRPr="00815437" w:rsidRDefault="009944D8" w:rsidP="008154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44D8" w:rsidRDefault="00DE719A" w:rsidP="00815437">
      <w:pPr>
        <w:spacing w:after="0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DE719A">
        <w:rPr>
          <w:rFonts w:ascii="Times New Roman" w:hAnsi="Times New Roman"/>
          <w:sz w:val="24"/>
          <w:szCs w:val="24"/>
          <w:u w:val="single"/>
        </w:rPr>
        <w:t>PRIHODI I PRIMICI</w:t>
      </w:r>
    </w:p>
    <w:p w:rsidR="00DE719A" w:rsidRDefault="00DE719A" w:rsidP="00815437">
      <w:pPr>
        <w:spacing w:after="0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:rsidR="00DE719A" w:rsidRPr="00DE719A" w:rsidRDefault="00DE719A" w:rsidP="00DE719A">
      <w:pPr>
        <w:ind w:firstLine="708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Prihodi i primici Proračuna za 2023. godinu prema ekonomskoj klasifikaciji obuhvaćaju prihode poslovanja, prihode od prodaje nefinancijske imovine, te primitke od financijske imovine i zaduživanja. S obzirom da je Dječji vrtić proračunski korisnik Općine Josipdol njegovo financiranje je uglavnom iz općih prihoda općine kao Osnivača. Dječji vrtić ostvaruje prihode od uplate roditelja za redovni program i programe igraonica. </w:t>
      </w:r>
    </w:p>
    <w:p w:rsidR="00DE719A" w:rsidRDefault="00DE719A" w:rsidP="00815437">
      <w:pPr>
        <w:spacing w:after="0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:rsidR="00DE719A" w:rsidRDefault="00DE719A" w:rsidP="001D032B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D032B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Tablica 1</w:t>
      </w:r>
      <w:r w:rsidRPr="001D032B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  <w:r w:rsidRPr="001D032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Planirani prihodi i primici Financijskog plana Dječjeg vrtića Josipdol za  2023.</w:t>
      </w:r>
    </w:p>
    <w:tbl>
      <w:tblPr>
        <w:tblStyle w:val="Reetkatablice"/>
        <w:tblW w:w="0" w:type="auto"/>
        <w:tblInd w:w="1129" w:type="dxa"/>
        <w:tblLook w:val="04A0" w:firstRow="1" w:lastRow="0" w:firstColumn="1" w:lastColumn="0" w:noHBand="0" w:noVBand="1"/>
      </w:tblPr>
      <w:tblGrid>
        <w:gridCol w:w="4531"/>
        <w:gridCol w:w="2268"/>
      </w:tblGrid>
      <w:tr w:rsidR="00EB69C9" w:rsidTr="00EB69C9">
        <w:tc>
          <w:tcPr>
            <w:tcW w:w="4531" w:type="dxa"/>
          </w:tcPr>
          <w:p w:rsidR="00EB69C9" w:rsidRDefault="00EB69C9" w:rsidP="001D032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PRIHODI POSLOVANJA </w:t>
            </w:r>
          </w:p>
        </w:tc>
        <w:tc>
          <w:tcPr>
            <w:tcW w:w="2268" w:type="dxa"/>
          </w:tcPr>
          <w:p w:rsidR="00EB69C9" w:rsidRDefault="00EB69C9" w:rsidP="00EB69C9">
            <w:pPr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320.540,00 EUR</w:t>
            </w:r>
          </w:p>
        </w:tc>
      </w:tr>
      <w:tr w:rsidR="00EB69C9" w:rsidTr="00EB69C9">
        <w:tc>
          <w:tcPr>
            <w:tcW w:w="4531" w:type="dxa"/>
          </w:tcPr>
          <w:p w:rsidR="00EB69C9" w:rsidRDefault="00EB69C9" w:rsidP="001D032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B69C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2268" w:type="dxa"/>
          </w:tcPr>
          <w:p w:rsidR="00EB69C9" w:rsidRPr="005A120E" w:rsidRDefault="00EB69C9" w:rsidP="00EB69C9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1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950,00 EUR</w:t>
            </w:r>
          </w:p>
        </w:tc>
      </w:tr>
      <w:tr w:rsidR="00EB69C9" w:rsidTr="00EB69C9">
        <w:tc>
          <w:tcPr>
            <w:tcW w:w="4531" w:type="dxa"/>
            <w:vAlign w:val="bottom"/>
          </w:tcPr>
          <w:p w:rsidR="00EB69C9" w:rsidRPr="00EB69C9" w:rsidRDefault="00EB69C9" w:rsidP="00EB69C9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B69C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upravnih i administrativnih pristojbi, pristojbi po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posebnim propisima i naknada (UPLATE RODITELJA)</w:t>
            </w:r>
            <w:r w:rsidRPr="00EB69C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</w:t>
            </w:r>
          </w:p>
        </w:tc>
        <w:tc>
          <w:tcPr>
            <w:tcW w:w="2268" w:type="dxa"/>
          </w:tcPr>
          <w:p w:rsidR="00EB69C9" w:rsidRPr="005A120E" w:rsidRDefault="00EB69C9" w:rsidP="00EB69C9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1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91.100,00 EUR</w:t>
            </w:r>
          </w:p>
        </w:tc>
      </w:tr>
      <w:tr w:rsidR="00EB69C9" w:rsidTr="00EB69C9">
        <w:tc>
          <w:tcPr>
            <w:tcW w:w="4531" w:type="dxa"/>
          </w:tcPr>
          <w:p w:rsidR="00EB69C9" w:rsidRDefault="00EB69C9" w:rsidP="00EB69C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B69C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iz nadležnog proračuna </w:t>
            </w:r>
          </w:p>
        </w:tc>
        <w:tc>
          <w:tcPr>
            <w:tcW w:w="2268" w:type="dxa"/>
          </w:tcPr>
          <w:p w:rsidR="00EB69C9" w:rsidRPr="005A120E" w:rsidRDefault="00EB69C9" w:rsidP="00EB69C9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1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228.490,00 EUR</w:t>
            </w:r>
          </w:p>
        </w:tc>
      </w:tr>
    </w:tbl>
    <w:p w:rsidR="00EB69C9" w:rsidRPr="001D032B" w:rsidRDefault="00EB69C9" w:rsidP="001D032B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B69C9" w:rsidRPr="00EB69C9" w:rsidRDefault="00EB69C9" w:rsidP="0055407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69C9">
        <w:rPr>
          <w:rFonts w:ascii="Times New Roman" w:hAnsi="Times New Roman"/>
          <w:b/>
          <w:sz w:val="24"/>
          <w:szCs w:val="24"/>
        </w:rPr>
        <w:lastRenderedPageBreak/>
        <w:t>Skupina 63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EB69C9">
        <w:rPr>
          <w:rFonts w:ascii="Times New Roman" w:eastAsia="Times New Roman" w:hAnsi="Times New Roman"/>
          <w:sz w:val="24"/>
          <w:szCs w:val="24"/>
          <w:lang w:eastAsia="hr-HR"/>
        </w:rPr>
        <w:t>Pomoći iz inozemstva i od subjekata unutar općeg proračuna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– planirane pomoći u iznosu od 950,00 EUR za troškove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preškole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554078" w:rsidRDefault="00554078" w:rsidP="00554078">
      <w:pPr>
        <w:tabs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A7738">
        <w:rPr>
          <w:rFonts w:ascii="Times New Roman" w:hAnsi="Times New Roman"/>
          <w:b/>
          <w:sz w:val="24"/>
          <w:szCs w:val="24"/>
        </w:rPr>
        <w:t>Skupina 65</w:t>
      </w:r>
      <w:r w:rsidRPr="005A7738">
        <w:rPr>
          <w:rFonts w:ascii="Times New Roman" w:hAnsi="Times New Roman"/>
          <w:sz w:val="24"/>
          <w:szCs w:val="24"/>
        </w:rPr>
        <w:t xml:space="preserve"> - Prihodi od administrativnih pristojbi i pristojbi po posebnim propisima i naknada planiraju se u iznosu od </w:t>
      </w:r>
      <w:r w:rsidR="00EB69C9" w:rsidRPr="00EB69C9">
        <w:rPr>
          <w:rFonts w:ascii="Times New Roman" w:hAnsi="Times New Roman"/>
          <w:sz w:val="24"/>
          <w:szCs w:val="24"/>
        </w:rPr>
        <w:t>91.100,00</w:t>
      </w:r>
      <w:r w:rsidRPr="00EB69C9">
        <w:rPr>
          <w:rFonts w:ascii="Times New Roman" w:hAnsi="Times New Roman"/>
          <w:sz w:val="24"/>
          <w:szCs w:val="24"/>
        </w:rPr>
        <w:t xml:space="preserve"> </w:t>
      </w:r>
      <w:r w:rsidRPr="005A7738">
        <w:rPr>
          <w:rFonts w:ascii="Times New Roman" w:hAnsi="Times New Roman"/>
          <w:sz w:val="24"/>
          <w:szCs w:val="24"/>
        </w:rPr>
        <w:t>EUR.</w:t>
      </w:r>
      <w:r w:rsidR="00EB69C9">
        <w:rPr>
          <w:rFonts w:ascii="Arial" w:hAnsi="Arial" w:cs="Arial"/>
          <w:sz w:val="20"/>
          <w:szCs w:val="20"/>
        </w:rPr>
        <w:t xml:space="preserve"> </w:t>
      </w:r>
      <w:r w:rsidRPr="00EB2BD1">
        <w:rPr>
          <w:rFonts w:ascii="Times New Roman" w:hAnsi="Times New Roman"/>
          <w:sz w:val="24"/>
          <w:szCs w:val="24"/>
        </w:rPr>
        <w:t xml:space="preserve">Iznos od </w:t>
      </w:r>
      <w:r w:rsidR="00EB69C9" w:rsidRPr="00EB69C9">
        <w:rPr>
          <w:rFonts w:ascii="Times New Roman" w:hAnsi="Times New Roman"/>
          <w:sz w:val="24"/>
          <w:szCs w:val="24"/>
        </w:rPr>
        <w:t>91.100,00 EUR</w:t>
      </w:r>
      <w:r w:rsidRPr="00EB2BD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B2BD1">
        <w:rPr>
          <w:rFonts w:ascii="Times New Roman" w:hAnsi="Times New Roman"/>
          <w:sz w:val="24"/>
          <w:szCs w:val="24"/>
        </w:rPr>
        <w:t>odnosi se na vlastite priho</w:t>
      </w:r>
      <w:r>
        <w:rPr>
          <w:rFonts w:ascii="Times New Roman" w:hAnsi="Times New Roman"/>
          <w:sz w:val="24"/>
          <w:szCs w:val="24"/>
        </w:rPr>
        <w:t>de Dječjeg vrtića Josipdol</w:t>
      </w:r>
      <w:r w:rsidR="00EB69C9">
        <w:rPr>
          <w:rFonts w:ascii="Times New Roman" w:hAnsi="Times New Roman"/>
          <w:sz w:val="24"/>
          <w:szCs w:val="24"/>
        </w:rPr>
        <w:t xml:space="preserve"> odnosno prihode</w:t>
      </w:r>
      <w:r>
        <w:rPr>
          <w:rFonts w:ascii="Times New Roman" w:hAnsi="Times New Roman"/>
          <w:sz w:val="24"/>
          <w:szCs w:val="24"/>
        </w:rPr>
        <w:t xml:space="preserve"> od uplate roditelja</w:t>
      </w:r>
      <w:r w:rsidRPr="00EB2BD1">
        <w:rPr>
          <w:rFonts w:ascii="Times New Roman" w:hAnsi="Times New Roman"/>
          <w:sz w:val="24"/>
          <w:szCs w:val="24"/>
        </w:rPr>
        <w:t xml:space="preserve"> za boravak djece</w:t>
      </w:r>
      <w:r>
        <w:rPr>
          <w:rFonts w:ascii="Times New Roman" w:hAnsi="Times New Roman"/>
          <w:sz w:val="24"/>
          <w:szCs w:val="24"/>
        </w:rPr>
        <w:t xml:space="preserve"> </w:t>
      </w:r>
      <w:r w:rsidR="00EB69C9">
        <w:rPr>
          <w:rFonts w:ascii="Times New Roman" w:hAnsi="Times New Roman"/>
          <w:sz w:val="24"/>
          <w:szCs w:val="24"/>
        </w:rPr>
        <w:t>u redovnom programu</w:t>
      </w:r>
      <w:r w:rsidR="00EB69C9" w:rsidRPr="00EB69C9">
        <w:rPr>
          <w:rFonts w:ascii="Times New Roman" w:hAnsi="Times New Roman"/>
          <w:sz w:val="24"/>
          <w:szCs w:val="24"/>
        </w:rPr>
        <w:t xml:space="preserve"> i</w:t>
      </w:r>
      <w:r w:rsidR="00EB69C9">
        <w:rPr>
          <w:rFonts w:ascii="Times New Roman" w:hAnsi="Times New Roman"/>
          <w:sz w:val="24"/>
          <w:szCs w:val="24"/>
        </w:rPr>
        <w:t xml:space="preserve"> prihode</w:t>
      </w:r>
      <w:r>
        <w:rPr>
          <w:rFonts w:ascii="Times New Roman" w:hAnsi="Times New Roman"/>
          <w:sz w:val="24"/>
          <w:szCs w:val="24"/>
        </w:rPr>
        <w:t xml:space="preserve"> o</w:t>
      </w:r>
      <w:r w:rsidR="00EB69C9">
        <w:rPr>
          <w:rFonts w:ascii="Times New Roman" w:hAnsi="Times New Roman"/>
          <w:sz w:val="24"/>
          <w:szCs w:val="24"/>
        </w:rPr>
        <w:t>d uplate roditelja za igraonicu.</w:t>
      </w:r>
    </w:p>
    <w:p w:rsidR="00EB69C9" w:rsidRDefault="00EB69C9" w:rsidP="00554078">
      <w:pPr>
        <w:tabs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B69C9">
        <w:rPr>
          <w:rFonts w:ascii="Times New Roman" w:hAnsi="Times New Roman"/>
          <w:b/>
          <w:sz w:val="24"/>
          <w:szCs w:val="24"/>
        </w:rPr>
        <w:t>Skupina 67</w:t>
      </w:r>
      <w:r>
        <w:rPr>
          <w:rFonts w:ascii="Times New Roman" w:hAnsi="Times New Roman"/>
          <w:sz w:val="24"/>
          <w:szCs w:val="24"/>
        </w:rPr>
        <w:t xml:space="preserve"> – Prihodi iz nadležnog proračuna Općine Josipdol – planirano je 228.490,00 EUR.</w:t>
      </w:r>
    </w:p>
    <w:p w:rsidR="001D032B" w:rsidRDefault="001D032B" w:rsidP="001D032B">
      <w:pPr>
        <w:rPr>
          <w:rFonts w:ascii="Times New Roman" w:hAnsi="Times New Roman"/>
          <w:sz w:val="24"/>
          <w:szCs w:val="24"/>
        </w:rPr>
      </w:pPr>
    </w:p>
    <w:p w:rsidR="003D7F0E" w:rsidRDefault="001D032B" w:rsidP="003D7F0E">
      <w:pPr>
        <w:keepNext/>
        <w:keepLines/>
        <w:widowControl w:val="0"/>
        <w:autoSpaceDN/>
        <w:spacing w:before="200" w:after="0"/>
        <w:ind w:firstLine="708"/>
        <w:textAlignment w:val="auto"/>
        <w:outlineLvl w:val="1"/>
        <w:rPr>
          <w:rFonts w:ascii="Times New Roman" w:eastAsiaTheme="majorEastAsia" w:hAnsi="Times New Roman"/>
          <w:bCs/>
          <w:kern w:val="2"/>
          <w:sz w:val="24"/>
          <w:szCs w:val="24"/>
          <w:u w:val="single"/>
          <w:lang w:eastAsia="hi-IN" w:bidi="hi-IN"/>
        </w:rPr>
      </w:pPr>
      <w:bookmarkStart w:id="0" w:name="_Toc90259047"/>
      <w:r w:rsidRPr="001D032B">
        <w:rPr>
          <w:rFonts w:ascii="Times New Roman" w:eastAsiaTheme="majorEastAsia" w:hAnsi="Times New Roman"/>
          <w:bCs/>
          <w:kern w:val="2"/>
          <w:sz w:val="24"/>
          <w:szCs w:val="24"/>
          <w:u w:val="single"/>
          <w:lang w:eastAsia="hi-IN" w:bidi="hi-IN"/>
        </w:rPr>
        <w:t>RASHODI I IZDACI</w:t>
      </w:r>
      <w:bookmarkEnd w:id="0"/>
    </w:p>
    <w:p w:rsidR="003D7F0E" w:rsidRDefault="003D7F0E" w:rsidP="003D7F0E">
      <w:pPr>
        <w:keepNext/>
        <w:keepLines/>
        <w:widowControl w:val="0"/>
        <w:autoSpaceDN/>
        <w:spacing w:before="200" w:after="0"/>
        <w:ind w:firstLine="708"/>
        <w:textAlignment w:val="auto"/>
        <w:outlineLvl w:val="1"/>
        <w:rPr>
          <w:rFonts w:ascii="Times New Roman" w:eastAsiaTheme="majorEastAsia" w:hAnsi="Times New Roman"/>
          <w:bCs/>
          <w:kern w:val="2"/>
          <w:sz w:val="24"/>
          <w:szCs w:val="24"/>
          <w:u w:val="single"/>
          <w:lang w:eastAsia="hi-IN" w:bidi="hi-IN"/>
        </w:rPr>
      </w:pPr>
    </w:p>
    <w:p w:rsidR="003D7F0E" w:rsidRPr="005A120E" w:rsidRDefault="003D7F0E" w:rsidP="003D7F0E">
      <w:pPr>
        <w:widowControl w:val="0"/>
        <w:autoSpaceDN/>
        <w:spacing w:after="0"/>
        <w:ind w:firstLine="708"/>
        <w:jc w:val="both"/>
        <w:textAlignment w:val="auto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5A120E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Prijedlogom Financijskog plana Dječjeg vrtića Josipdol za 2023. godinu planiraju se rashodi i izdaci u iznosu od </w:t>
      </w:r>
      <w:r w:rsidR="00EB69C9" w:rsidRPr="005A120E">
        <w:rPr>
          <w:rFonts w:ascii="Times New Roman" w:eastAsia="Lucida Sans Unicode" w:hAnsi="Times New Roman"/>
          <w:bCs/>
          <w:kern w:val="2"/>
          <w:sz w:val="24"/>
          <w:szCs w:val="24"/>
          <w:lang w:eastAsia="hi-IN" w:bidi="hi-IN"/>
        </w:rPr>
        <w:t>327.540,00 EUR</w:t>
      </w:r>
      <w:r w:rsidR="005A120E" w:rsidRPr="005A120E"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hi-IN" w:bidi="hi-IN"/>
        </w:rPr>
        <w:t>.</w:t>
      </w:r>
    </w:p>
    <w:p w:rsidR="003D7F0E" w:rsidRPr="005A120E" w:rsidRDefault="003D7F0E" w:rsidP="003D7F0E">
      <w:pPr>
        <w:suppressAutoHyphens w:val="0"/>
        <w:autoSpaceDN/>
        <w:spacing w:line="252" w:lineRule="auto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5A120E">
        <w:rPr>
          <w:rFonts w:ascii="Times New Roman" w:eastAsiaTheme="minorHAnsi" w:hAnsi="Times New Roman"/>
          <w:sz w:val="24"/>
          <w:szCs w:val="24"/>
        </w:rPr>
        <w:t>Ukupno planirani prihodi i primici proračuna za 2022. godinu raspodijeljeni su na planirane rashode poslovanja (</w:t>
      </w:r>
      <w:r w:rsidR="005A120E" w:rsidRPr="005A120E">
        <w:rPr>
          <w:rFonts w:ascii="Times New Roman" w:eastAsiaTheme="minorHAnsi" w:hAnsi="Times New Roman"/>
          <w:sz w:val="24"/>
          <w:szCs w:val="24"/>
        </w:rPr>
        <w:t>325.540,00</w:t>
      </w:r>
      <w:r w:rsidRPr="005A120E">
        <w:rPr>
          <w:rFonts w:ascii="Times New Roman" w:eastAsiaTheme="minorHAnsi" w:hAnsi="Times New Roman"/>
          <w:sz w:val="24"/>
          <w:szCs w:val="24"/>
        </w:rPr>
        <w:t xml:space="preserve"> EUR) i rashode za nabavu nefinancijske imovine (</w:t>
      </w:r>
      <w:r w:rsidR="005A120E" w:rsidRPr="005A120E">
        <w:rPr>
          <w:rFonts w:ascii="Times New Roman" w:eastAsiaTheme="minorHAnsi" w:hAnsi="Times New Roman"/>
          <w:sz w:val="24"/>
          <w:szCs w:val="24"/>
        </w:rPr>
        <w:t>2.000,00</w:t>
      </w:r>
      <w:r w:rsidRPr="005A120E">
        <w:rPr>
          <w:rFonts w:ascii="Times New Roman" w:eastAsiaTheme="minorHAnsi" w:hAnsi="Times New Roman"/>
          <w:sz w:val="24"/>
          <w:szCs w:val="24"/>
        </w:rPr>
        <w:t xml:space="preserve"> EUR).</w:t>
      </w:r>
    </w:p>
    <w:p w:rsidR="001D032B" w:rsidRPr="005A120E" w:rsidRDefault="001D032B" w:rsidP="001D032B">
      <w:pPr>
        <w:rPr>
          <w:rFonts w:ascii="Times New Roman" w:hAnsi="Times New Roman"/>
          <w:sz w:val="24"/>
          <w:szCs w:val="24"/>
        </w:rPr>
      </w:pPr>
    </w:p>
    <w:p w:rsidR="001D032B" w:rsidRDefault="001D032B" w:rsidP="001D032B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D032B">
        <w:rPr>
          <w:rFonts w:ascii="Times New Roman" w:hAnsi="Times New Roman"/>
          <w:b/>
          <w:i/>
          <w:sz w:val="24"/>
          <w:szCs w:val="24"/>
          <w:u w:val="single"/>
        </w:rPr>
        <w:t>Tablica 2</w:t>
      </w:r>
      <w:r w:rsidRPr="001D032B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.</w:t>
      </w:r>
      <w:r w:rsidRPr="001D032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Planirani rashodi i izdaci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Financijskog plana Dječjeg vrtića Josipdol</w:t>
      </w:r>
      <w:r w:rsidRPr="001D032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za 2023.</w:t>
      </w:r>
    </w:p>
    <w:tbl>
      <w:tblPr>
        <w:tblStyle w:val="Reetkatablice"/>
        <w:tblW w:w="0" w:type="auto"/>
        <w:tblInd w:w="1055" w:type="dxa"/>
        <w:tblLook w:val="04A0" w:firstRow="1" w:lastRow="0" w:firstColumn="1" w:lastColumn="0" w:noHBand="0" w:noVBand="1"/>
      </w:tblPr>
      <w:tblGrid>
        <w:gridCol w:w="4531"/>
        <w:gridCol w:w="2410"/>
      </w:tblGrid>
      <w:tr w:rsidR="005A120E" w:rsidTr="005A120E">
        <w:tc>
          <w:tcPr>
            <w:tcW w:w="4531" w:type="dxa"/>
          </w:tcPr>
          <w:p w:rsidR="005A120E" w:rsidRPr="005A120E" w:rsidRDefault="005A120E" w:rsidP="001D032B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A120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RASHODI POSLOVANJA</w:t>
            </w:r>
          </w:p>
        </w:tc>
        <w:tc>
          <w:tcPr>
            <w:tcW w:w="2410" w:type="dxa"/>
          </w:tcPr>
          <w:p w:rsidR="005A120E" w:rsidRDefault="005A120E" w:rsidP="005A120E">
            <w:pPr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325.540,00 EUR</w:t>
            </w:r>
          </w:p>
        </w:tc>
      </w:tr>
      <w:tr w:rsidR="005A120E" w:rsidTr="005A120E">
        <w:tc>
          <w:tcPr>
            <w:tcW w:w="4531" w:type="dxa"/>
          </w:tcPr>
          <w:p w:rsidR="005A120E" w:rsidRDefault="005A120E" w:rsidP="001D032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6CD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410" w:type="dxa"/>
          </w:tcPr>
          <w:p w:rsidR="005A120E" w:rsidRPr="005A120E" w:rsidRDefault="005A120E" w:rsidP="005A120E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1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253.030,00 EUR</w:t>
            </w:r>
          </w:p>
        </w:tc>
      </w:tr>
      <w:tr w:rsidR="005A120E" w:rsidTr="005A120E">
        <w:tc>
          <w:tcPr>
            <w:tcW w:w="4531" w:type="dxa"/>
          </w:tcPr>
          <w:p w:rsidR="005A120E" w:rsidRPr="005A120E" w:rsidRDefault="005A120E" w:rsidP="005A120E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6CD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410" w:type="dxa"/>
          </w:tcPr>
          <w:p w:rsidR="005A120E" w:rsidRPr="005A120E" w:rsidRDefault="005A120E" w:rsidP="005A120E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1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71.860,00 EUR</w:t>
            </w:r>
          </w:p>
        </w:tc>
      </w:tr>
      <w:tr w:rsidR="005A120E" w:rsidTr="005A120E">
        <w:tc>
          <w:tcPr>
            <w:tcW w:w="4531" w:type="dxa"/>
          </w:tcPr>
          <w:p w:rsidR="005A120E" w:rsidRDefault="005A120E" w:rsidP="001D032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D6CD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2410" w:type="dxa"/>
          </w:tcPr>
          <w:p w:rsidR="005A120E" w:rsidRPr="005A120E" w:rsidRDefault="005A120E" w:rsidP="005A120E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12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650,00 EUR</w:t>
            </w:r>
          </w:p>
        </w:tc>
      </w:tr>
      <w:tr w:rsidR="005A120E" w:rsidTr="005A120E">
        <w:tc>
          <w:tcPr>
            <w:tcW w:w="4531" w:type="dxa"/>
          </w:tcPr>
          <w:p w:rsidR="005A120E" w:rsidRDefault="005A120E" w:rsidP="001D032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RASHODI ZA NABAVU NEFINANCIJSKE IMOVINE</w:t>
            </w:r>
          </w:p>
        </w:tc>
        <w:tc>
          <w:tcPr>
            <w:tcW w:w="2410" w:type="dxa"/>
          </w:tcPr>
          <w:p w:rsidR="005A120E" w:rsidRDefault="005A120E" w:rsidP="005A120E">
            <w:pPr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2.000,00 EUR</w:t>
            </w:r>
          </w:p>
        </w:tc>
      </w:tr>
    </w:tbl>
    <w:p w:rsidR="003D7F0E" w:rsidRDefault="003D7F0E" w:rsidP="00D445EC">
      <w:pPr>
        <w:jc w:val="both"/>
        <w:rPr>
          <w:rFonts w:ascii="Times New Roman" w:hAnsi="Times New Roman"/>
        </w:rPr>
      </w:pPr>
    </w:p>
    <w:p w:rsidR="003D7F0E" w:rsidRDefault="003D7F0E" w:rsidP="003D7F0E">
      <w:pPr>
        <w:keepNext/>
        <w:keepLines/>
        <w:widowControl w:val="0"/>
        <w:autoSpaceDN/>
        <w:spacing w:before="200" w:after="0"/>
        <w:ind w:firstLine="708"/>
        <w:textAlignment w:val="auto"/>
        <w:outlineLvl w:val="1"/>
        <w:rPr>
          <w:rFonts w:ascii="Times New Roman" w:eastAsiaTheme="majorEastAsia" w:hAnsi="Times New Roman"/>
          <w:bCs/>
          <w:kern w:val="2"/>
          <w:sz w:val="24"/>
          <w:szCs w:val="24"/>
          <w:u w:val="single"/>
          <w:lang w:eastAsia="hi-IN" w:bidi="hi-IN"/>
        </w:rPr>
      </w:pPr>
    </w:p>
    <w:p w:rsidR="00396528" w:rsidRDefault="003D7F0E" w:rsidP="003D7F0E">
      <w:pPr>
        <w:widowControl w:val="0"/>
        <w:autoSpaceDN/>
        <w:spacing w:after="0"/>
        <w:ind w:firstLine="708"/>
        <w:jc w:val="both"/>
        <w:textAlignment w:val="auto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3D7F0E"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>Skupina 31</w:t>
      </w:r>
      <w:r w:rsidRPr="003D7F0E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- Rashodi za zaposlene planirani su u visini </w:t>
      </w:r>
      <w:r w:rsidR="00396528" w:rsidRPr="005A120E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2</w:t>
      </w:r>
      <w:r w:rsidR="00ED4DED" w:rsidRPr="005A120E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53.030</w:t>
      </w:r>
      <w:r w:rsidR="00396528" w:rsidRPr="005A120E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,00</w:t>
      </w:r>
      <w:r w:rsidRPr="005A120E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EUR</w:t>
      </w:r>
      <w:r w:rsidRPr="003D7F0E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. Rashodi za zaposlene odnose se na troškove plaća, doprinosa na plaću i ostalih rashoda</w:t>
      </w:r>
      <w:r w:rsidR="00ED4DED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za zaposlenih u redovnom programu i programu </w:t>
      </w:r>
      <w:proofErr w:type="spellStart"/>
      <w:r w:rsidR="00ED4DED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predškole</w:t>
      </w:r>
      <w:proofErr w:type="spellEnd"/>
      <w:r w:rsidR="00396528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. Od toga </w:t>
      </w:r>
      <w:proofErr w:type="spellStart"/>
      <w:r w:rsidR="00396528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osvnivač</w:t>
      </w:r>
      <w:proofErr w:type="spellEnd"/>
      <w:r w:rsidR="00396528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vlastitim sredstvima pokriva trošak za zaposlene u iznosu od </w:t>
      </w:r>
      <w:r w:rsidR="00ED4DED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228.08</w:t>
      </w:r>
      <w:r w:rsidR="00396528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0,00 EUR, a Dječji vrtić Josipdol vlastitim sredstvima od uplate roditelja sudjeluje u pokriću rashoda za zaposlene u iznosu od 24.040,00 EUR.</w:t>
      </w:r>
    </w:p>
    <w:p w:rsidR="003D7F0E" w:rsidRPr="003D7F0E" w:rsidRDefault="003D7F0E" w:rsidP="003D7F0E">
      <w:pPr>
        <w:widowControl w:val="0"/>
        <w:autoSpaceDN/>
        <w:spacing w:after="0"/>
        <w:ind w:firstLine="708"/>
        <w:jc w:val="both"/>
        <w:textAlignment w:val="auto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3D7F0E"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>Skupina 32</w:t>
      </w:r>
      <w:r w:rsidRPr="003D7F0E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- Materijalni proračunskog korisnika planirani su u iznosu od </w:t>
      </w:r>
      <w:r w:rsidR="00ED4DED">
        <w:rPr>
          <w:rFonts w:ascii="Times New Roman" w:eastAsia="Lucida Sans Unicode" w:hAnsi="Times New Roman"/>
          <w:kern w:val="2"/>
          <w:sz w:val="24"/>
          <w:szCs w:val="24"/>
          <w:lang w:eastAsia="hr-HR" w:bidi="hi-IN"/>
        </w:rPr>
        <w:t>68.7</w:t>
      </w:r>
      <w:r w:rsidR="00396528" w:rsidRPr="00396528">
        <w:rPr>
          <w:rFonts w:ascii="Times New Roman" w:eastAsia="Lucida Sans Unicode" w:hAnsi="Times New Roman"/>
          <w:kern w:val="2"/>
          <w:sz w:val="24"/>
          <w:szCs w:val="24"/>
          <w:lang w:eastAsia="hr-HR" w:bidi="hi-IN"/>
        </w:rPr>
        <w:t>80,00</w:t>
      </w:r>
      <w:r w:rsidR="00396528">
        <w:rPr>
          <w:rFonts w:ascii="Times New Roman" w:eastAsia="Lucida Sans Unicode" w:hAnsi="Times New Roman"/>
          <w:kern w:val="2"/>
          <w:sz w:val="24"/>
          <w:szCs w:val="24"/>
          <w:lang w:eastAsia="hr-HR" w:bidi="hi-IN"/>
        </w:rPr>
        <w:t xml:space="preserve"> EUR</w:t>
      </w:r>
      <w:r w:rsidRPr="00396528">
        <w:rPr>
          <w:rFonts w:ascii="Times New Roman" w:eastAsia="Lucida Sans Unicode" w:hAnsi="Times New Roman"/>
          <w:kern w:val="2"/>
          <w:sz w:val="24"/>
          <w:szCs w:val="24"/>
          <w:lang w:eastAsia="hr-HR" w:bidi="hi-IN"/>
        </w:rPr>
        <w:t xml:space="preserve">. </w:t>
      </w:r>
      <w:r w:rsidRPr="003D7F0E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Na skupini 32, rashodi za </w:t>
      </w:r>
      <w:r w:rsidR="00DF49EF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namirnice, energiju i </w:t>
      </w:r>
      <w:r w:rsidR="00DF49EF">
        <w:rPr>
          <w:rFonts w:ascii="Times New Roman" w:hAnsi="Times New Roman"/>
        </w:rPr>
        <w:t>n</w:t>
      </w:r>
      <w:r w:rsidR="00DF49EF" w:rsidRPr="00DF49EF">
        <w:rPr>
          <w:rFonts w:ascii="Times New Roman" w:hAnsi="Times New Roman"/>
        </w:rPr>
        <w:t>aknade za prijevoz, za rad na terenu i odvojeni život</w:t>
      </w:r>
      <w:r w:rsidR="00DF49EF">
        <w:t xml:space="preserve"> </w:t>
      </w:r>
      <w:r w:rsidR="00DF49EF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čine najveću stavku</w:t>
      </w:r>
      <w:r w:rsidRPr="003D7F0E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.</w:t>
      </w:r>
    </w:p>
    <w:p w:rsidR="003D7F0E" w:rsidRPr="003D7F0E" w:rsidRDefault="003D7F0E" w:rsidP="003D7F0E">
      <w:pPr>
        <w:widowControl w:val="0"/>
        <w:autoSpaceDN/>
        <w:spacing w:after="0"/>
        <w:jc w:val="both"/>
        <w:textAlignment w:val="auto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3D7F0E"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  <w:tab/>
      </w:r>
      <w:r w:rsidRPr="003D7F0E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Struktura materijalnih rashoda na razini proračunskog korisnika sastoji se od naknada troškova zaposlenima: naknade za prijevoz, dnevnice, seminari, tečajevi – </w:t>
      </w:r>
      <w:r w:rsidR="00DF49EF" w:rsidRPr="00DF49EF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14.000,00</w:t>
      </w:r>
      <w:r w:rsidRPr="00DF49EF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EUR</w:t>
      </w:r>
      <w:r w:rsidRPr="003D7F0E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, rashoda za materijal i energiju: uredski materijal, električna energija i drugi energenti, namirnice – </w:t>
      </w:r>
      <w:r w:rsidR="00DF49EF" w:rsidRPr="00DF49EF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42.200,00 EUR</w:t>
      </w:r>
      <w:r w:rsidRPr="003D7F0E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, rashoda za usluge: telefon, pošta i prijevoz, </w:t>
      </w:r>
      <w:r w:rsidR="00DF49EF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radna odjeća i obuća, komunalne usluge, računovodstvene </w:t>
      </w:r>
      <w:r w:rsidRPr="003D7F0E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usluge, </w:t>
      </w:r>
      <w:r w:rsidR="00DF49EF">
        <w:rPr>
          <w:rFonts w:ascii="Times New Roman" w:hAnsi="Times New Roman"/>
          <w:sz w:val="24"/>
          <w:szCs w:val="24"/>
        </w:rPr>
        <w:t>u</w:t>
      </w:r>
      <w:r w:rsidR="00DF49EF" w:rsidRPr="00DF49EF">
        <w:rPr>
          <w:rFonts w:ascii="Times New Roman" w:hAnsi="Times New Roman"/>
          <w:sz w:val="24"/>
          <w:szCs w:val="24"/>
        </w:rPr>
        <w:t>sluge tekućeg i investicijskog održavanja</w:t>
      </w:r>
      <w:r w:rsidRPr="003D7F0E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– </w:t>
      </w:r>
      <w:r w:rsidR="00DF49EF" w:rsidRPr="00DF49EF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10.750,00</w:t>
      </w:r>
      <w:r w:rsidRPr="00DF49EF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EUR </w:t>
      </w:r>
      <w:r w:rsidRPr="003D7F0E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i ostalih rashoda poslovanja:  premije osiguranja, o</w:t>
      </w:r>
      <w:r w:rsidR="00DF49EF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rganizacija manifestacija</w:t>
      </w:r>
      <w:r w:rsidRPr="003D7F0E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i dr. – </w:t>
      </w:r>
      <w:r w:rsidR="00DF49EF" w:rsidRPr="00DF49EF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550,00</w:t>
      </w:r>
      <w:r w:rsidRPr="00DF49EF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EUR</w:t>
      </w:r>
      <w:r w:rsidRPr="003D7F0E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.</w:t>
      </w:r>
      <w:r w:rsidR="00ED4DED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Troškovi naknada za zaposlene u programu igraonice iznose 3.080,00 EUR i financirane su vlastitim sredstvima odnosno namjenskim sredstvima od uplate roditelja.</w:t>
      </w:r>
    </w:p>
    <w:p w:rsidR="003D7F0E" w:rsidRPr="003D7F0E" w:rsidRDefault="003D7F0E" w:rsidP="003D7F0E">
      <w:pPr>
        <w:widowControl w:val="0"/>
        <w:autoSpaceDN/>
        <w:spacing w:after="0"/>
        <w:ind w:firstLine="708"/>
        <w:jc w:val="both"/>
        <w:textAlignment w:val="auto"/>
        <w:rPr>
          <w:rFonts w:ascii="Times New Roman" w:eastAsia="Lucida Sans Unicode" w:hAnsi="Times New Roman"/>
          <w:color w:val="FF0000"/>
          <w:kern w:val="2"/>
          <w:sz w:val="24"/>
          <w:szCs w:val="24"/>
          <w:lang w:eastAsia="hi-IN" w:bidi="hi-IN"/>
        </w:rPr>
      </w:pPr>
    </w:p>
    <w:p w:rsidR="003D7F0E" w:rsidRDefault="003D7F0E" w:rsidP="003D7F0E">
      <w:pPr>
        <w:widowControl w:val="0"/>
        <w:autoSpaceDN/>
        <w:spacing w:after="0"/>
        <w:ind w:firstLine="708"/>
        <w:jc w:val="both"/>
        <w:textAlignment w:val="auto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3D7F0E"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>Skupina 34</w:t>
      </w:r>
      <w:r w:rsidRPr="003D7F0E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- Financijski rashodi troškove banaka i platnog prometa</w:t>
      </w:r>
      <w:r w:rsidR="00ED4DED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u iznosu, a planirani su u iznosu od 650,00</w:t>
      </w:r>
      <w:r w:rsidRPr="003D7F0E">
        <w:rPr>
          <w:rFonts w:ascii="Times New Roman" w:eastAsia="Lucida Sans Unicode" w:hAnsi="Times New Roman"/>
          <w:color w:val="FF0000"/>
          <w:kern w:val="2"/>
          <w:sz w:val="24"/>
          <w:szCs w:val="24"/>
          <w:lang w:eastAsia="hi-IN" w:bidi="hi-IN"/>
        </w:rPr>
        <w:t xml:space="preserve"> </w:t>
      </w:r>
      <w:r w:rsidRPr="00ED4DED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EUR</w:t>
      </w:r>
      <w:r w:rsidRPr="003D7F0E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.</w:t>
      </w:r>
    </w:p>
    <w:p w:rsidR="003D7F0E" w:rsidRDefault="003D7F0E" w:rsidP="003D7F0E">
      <w:pPr>
        <w:widowControl w:val="0"/>
        <w:autoSpaceDN/>
        <w:spacing w:after="0"/>
        <w:ind w:firstLine="708"/>
        <w:jc w:val="both"/>
        <w:textAlignment w:val="auto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</w:p>
    <w:p w:rsidR="003D7F0E" w:rsidRDefault="003D7F0E" w:rsidP="003D7F0E">
      <w:pPr>
        <w:widowControl w:val="0"/>
        <w:autoSpaceDN/>
        <w:spacing w:after="0"/>
        <w:ind w:firstLine="708"/>
        <w:jc w:val="both"/>
        <w:textAlignment w:val="auto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 xml:space="preserve">Skupina </w:t>
      </w:r>
      <w:r w:rsidRPr="003D7F0E"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>42</w:t>
      </w:r>
      <w:r w:rsidRPr="003D7F0E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- Unutar rashoda za nabavu imovine, </w:t>
      </w:r>
      <w:r w:rsidR="00ED4DED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rashodi za nabavu </w:t>
      </w:r>
      <w:r w:rsidRPr="00ED4DED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proizvedene </w:t>
      </w:r>
      <w:r w:rsidRPr="00ED4DED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lastRenderedPageBreak/>
        <w:t>dugotrajne imovin</w:t>
      </w:r>
      <w:r w:rsidRPr="003D7F0E"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>e</w:t>
      </w:r>
      <w:r w:rsidRPr="003D7F0E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planirani su u iznosu od </w:t>
      </w:r>
      <w:r w:rsidR="00ED4DED" w:rsidRPr="00ED4DED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2.000,00</w:t>
      </w:r>
      <w:r w:rsidRPr="00ED4DED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EUR</w:t>
      </w:r>
      <w:r w:rsidR="00ED4DED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.</w:t>
      </w:r>
    </w:p>
    <w:p w:rsidR="005A120E" w:rsidRDefault="005A120E" w:rsidP="003D7F0E">
      <w:pPr>
        <w:widowControl w:val="0"/>
        <w:autoSpaceDN/>
        <w:spacing w:after="0"/>
        <w:ind w:firstLine="708"/>
        <w:jc w:val="both"/>
        <w:textAlignment w:val="auto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</w:p>
    <w:p w:rsidR="005A120E" w:rsidRDefault="003D7F0E" w:rsidP="005A120E">
      <w:pPr>
        <w:keepNext/>
        <w:keepLines/>
        <w:widowControl w:val="0"/>
        <w:autoSpaceDN/>
        <w:spacing w:before="200" w:after="0"/>
        <w:ind w:firstLine="708"/>
        <w:textAlignment w:val="auto"/>
        <w:outlineLvl w:val="1"/>
        <w:rPr>
          <w:rFonts w:ascii="Times New Roman" w:eastAsiaTheme="majorEastAsia" w:hAnsi="Times New Roman"/>
          <w:b/>
          <w:bCs/>
          <w:kern w:val="2"/>
          <w:sz w:val="24"/>
          <w:szCs w:val="24"/>
          <w:lang w:eastAsia="hi-IN" w:bidi="hi-IN"/>
        </w:rPr>
      </w:pPr>
      <w:r w:rsidRPr="005A120E">
        <w:rPr>
          <w:rFonts w:ascii="Times New Roman" w:eastAsiaTheme="majorEastAsia" w:hAnsi="Times New Roman"/>
          <w:b/>
          <w:bCs/>
          <w:kern w:val="2"/>
          <w:sz w:val="24"/>
          <w:szCs w:val="24"/>
          <w:lang w:eastAsia="hi-IN" w:bidi="hi-IN"/>
        </w:rPr>
        <w:t>PRENESENI VIŠAK PRORAČUNA</w:t>
      </w:r>
    </w:p>
    <w:p w:rsidR="005A120E" w:rsidRPr="005A120E" w:rsidRDefault="005A120E" w:rsidP="005A120E">
      <w:pPr>
        <w:keepNext/>
        <w:keepLines/>
        <w:widowControl w:val="0"/>
        <w:autoSpaceDN/>
        <w:spacing w:before="200" w:after="0"/>
        <w:ind w:firstLine="708"/>
        <w:textAlignment w:val="auto"/>
        <w:outlineLvl w:val="1"/>
        <w:rPr>
          <w:rFonts w:ascii="Times New Roman" w:eastAsiaTheme="majorEastAsia" w:hAnsi="Times New Roman"/>
          <w:b/>
          <w:bCs/>
          <w:kern w:val="2"/>
          <w:sz w:val="24"/>
          <w:szCs w:val="24"/>
          <w:lang w:eastAsia="hi-IN" w:bidi="hi-IN"/>
        </w:rPr>
      </w:pPr>
    </w:p>
    <w:p w:rsidR="003D7F0E" w:rsidRPr="005A120E" w:rsidRDefault="003D7F0E" w:rsidP="003D7F0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A120E">
        <w:rPr>
          <w:rFonts w:ascii="Times New Roman" w:hAnsi="Times New Roman"/>
          <w:sz w:val="24"/>
          <w:szCs w:val="24"/>
        </w:rPr>
        <w:t>Preneseni viš</w:t>
      </w:r>
      <w:r w:rsidR="005A120E" w:rsidRPr="005A120E">
        <w:rPr>
          <w:rFonts w:ascii="Times New Roman" w:hAnsi="Times New Roman"/>
          <w:sz w:val="24"/>
          <w:szCs w:val="24"/>
        </w:rPr>
        <w:t xml:space="preserve">ak proračuna u visini od 7. 000,00 </w:t>
      </w:r>
      <w:r w:rsidRPr="005A120E">
        <w:rPr>
          <w:rFonts w:ascii="Times New Roman" w:hAnsi="Times New Roman"/>
          <w:sz w:val="24"/>
          <w:szCs w:val="24"/>
        </w:rPr>
        <w:t xml:space="preserve">EUR </w:t>
      </w:r>
      <w:r w:rsidR="005A120E">
        <w:rPr>
          <w:rFonts w:ascii="Times New Roman" w:hAnsi="Times New Roman"/>
          <w:sz w:val="24"/>
          <w:szCs w:val="24"/>
        </w:rPr>
        <w:t>u potpunosti će se rasporediti u planu za 2023. godinu.</w:t>
      </w:r>
    </w:p>
    <w:p w:rsidR="005A120E" w:rsidRDefault="005A120E" w:rsidP="005A120E">
      <w:pPr>
        <w:jc w:val="both"/>
        <w:rPr>
          <w:rFonts w:ascii="Arial" w:hAnsi="Arial" w:cs="Arial"/>
          <w:sz w:val="20"/>
          <w:szCs w:val="20"/>
        </w:rPr>
      </w:pPr>
    </w:p>
    <w:p w:rsidR="003D7F0E" w:rsidRDefault="00361D7A" w:rsidP="00361D7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 w:rsidR="003D7F0E" w:rsidRPr="003D7F0E">
        <w:rPr>
          <w:rFonts w:ascii="Times New Roman" w:hAnsi="Times New Roman"/>
          <w:b/>
          <w:sz w:val="24"/>
          <w:szCs w:val="24"/>
        </w:rPr>
        <w:t>POSEBNI DIO</w:t>
      </w:r>
    </w:p>
    <w:p w:rsidR="00361D7A" w:rsidRPr="00361D7A" w:rsidRDefault="00361D7A" w:rsidP="00361D7A">
      <w:pPr>
        <w:keepNext/>
        <w:keepLines/>
        <w:widowControl w:val="0"/>
        <w:autoSpaceDN/>
        <w:spacing w:before="200" w:after="0"/>
        <w:ind w:firstLine="708"/>
        <w:textAlignment w:val="auto"/>
        <w:outlineLvl w:val="1"/>
        <w:rPr>
          <w:rFonts w:ascii="Times New Roman" w:eastAsiaTheme="majorEastAsia" w:hAnsi="Times New Roman"/>
          <w:bCs/>
          <w:kern w:val="2"/>
          <w:sz w:val="24"/>
          <w:szCs w:val="24"/>
          <w:u w:val="single"/>
          <w:lang w:eastAsia="hi-IN" w:bidi="hi-IN"/>
        </w:rPr>
      </w:pPr>
      <w:bookmarkStart w:id="1" w:name="_Toc90259049"/>
      <w:r w:rsidRPr="00361D7A">
        <w:rPr>
          <w:rFonts w:ascii="Times New Roman" w:eastAsiaTheme="majorEastAsia" w:hAnsi="Times New Roman"/>
          <w:bCs/>
          <w:kern w:val="2"/>
          <w:sz w:val="24"/>
          <w:szCs w:val="24"/>
          <w:u w:val="single"/>
          <w:lang w:eastAsia="hi-IN" w:bidi="hi-IN"/>
        </w:rPr>
        <w:t>RASHODI I IZDACI PO ORGANIZACIJSKIM JEDINICAMA I PROGRAMIMA</w:t>
      </w:r>
      <w:bookmarkEnd w:id="1"/>
    </w:p>
    <w:p w:rsidR="00361D7A" w:rsidRDefault="00361D7A" w:rsidP="00361D7A">
      <w:pPr>
        <w:jc w:val="both"/>
        <w:rPr>
          <w:rFonts w:ascii="Times New Roman" w:hAnsi="Times New Roman"/>
          <w:sz w:val="24"/>
          <w:szCs w:val="24"/>
        </w:rPr>
      </w:pPr>
    </w:p>
    <w:p w:rsidR="00361D7A" w:rsidRDefault="00361D7A" w:rsidP="00361D7A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1D7A">
        <w:rPr>
          <w:rFonts w:ascii="Times New Roman" w:hAnsi="Times New Roman"/>
          <w:sz w:val="24"/>
          <w:szCs w:val="24"/>
        </w:rPr>
        <w:t xml:space="preserve">Obrazloženje posebnog dijela </w:t>
      </w:r>
      <w:r>
        <w:rPr>
          <w:rFonts w:ascii="Times New Roman" w:hAnsi="Times New Roman"/>
          <w:sz w:val="24"/>
          <w:szCs w:val="24"/>
        </w:rPr>
        <w:t>financijskog plana</w:t>
      </w:r>
      <w:r w:rsidRPr="00361D7A">
        <w:rPr>
          <w:rFonts w:ascii="Times New Roman" w:hAnsi="Times New Roman"/>
          <w:sz w:val="24"/>
          <w:szCs w:val="24"/>
        </w:rPr>
        <w:t xml:space="preserve"> sastoji se od obrazloženja programa koje se daje kroz obrazloženje </w:t>
      </w:r>
      <w:r w:rsidRPr="00361D7A">
        <w:rPr>
          <w:rFonts w:ascii="Times New Roman" w:hAnsi="Times New Roman"/>
          <w:color w:val="000000" w:themeColor="text1"/>
          <w:sz w:val="24"/>
          <w:szCs w:val="24"/>
        </w:rPr>
        <w:t xml:space="preserve"> aktivnosti i projekata zajedno s ciljevima i pokazateljima uspješnosti iz </w:t>
      </w:r>
      <w:r>
        <w:rPr>
          <w:rFonts w:ascii="Times New Roman" w:hAnsi="Times New Roman"/>
          <w:color w:val="000000" w:themeColor="text1"/>
          <w:sz w:val="24"/>
          <w:szCs w:val="24"/>
        </w:rPr>
        <w:t>akata strateškog planiranja i godišnjeg plana rada.</w:t>
      </w:r>
    </w:p>
    <w:p w:rsidR="00CE4139" w:rsidRDefault="00361D7A" w:rsidP="005A120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964DE">
        <w:rPr>
          <w:rFonts w:ascii="Times New Roman" w:hAnsi="Times New Roman"/>
          <w:sz w:val="24"/>
          <w:szCs w:val="24"/>
        </w:rPr>
        <w:t xml:space="preserve">Rashodi </w:t>
      </w:r>
      <w:r>
        <w:rPr>
          <w:rFonts w:ascii="Times New Roman" w:hAnsi="Times New Roman"/>
          <w:sz w:val="24"/>
          <w:szCs w:val="24"/>
        </w:rPr>
        <w:t>proračunskog korisnika sadržani su u Proračunu Općine Josipdol u Razdjelu 003 Upravni odjel za financije, gospodarstvo i društvene djelatnosti.</w:t>
      </w:r>
    </w:p>
    <w:p w:rsidR="00FC734A" w:rsidRPr="00FC734A" w:rsidRDefault="00FC734A" w:rsidP="00FC734A">
      <w:pPr>
        <w:suppressAutoHyphens w:val="0"/>
        <w:autoSpaceDN/>
        <w:spacing w:before="40" w:line="288" w:lineRule="auto"/>
        <w:textAlignment w:val="auto"/>
        <w:rPr>
          <w:rFonts w:ascii="Times New Roman" w:hAnsi="Times New Roman"/>
          <w:kern w:val="20"/>
          <w:sz w:val="24"/>
          <w:szCs w:val="24"/>
        </w:rPr>
      </w:pPr>
      <w:r w:rsidRPr="00FC734A">
        <w:rPr>
          <w:rFonts w:ascii="Times New Roman" w:hAnsi="Times New Roman"/>
          <w:kern w:val="20"/>
          <w:sz w:val="24"/>
          <w:szCs w:val="24"/>
        </w:rPr>
        <w:t>Za potrebe programa vrtić se financira sredstvima:</w:t>
      </w:r>
    </w:p>
    <w:p w:rsidR="00FC734A" w:rsidRPr="00FC734A" w:rsidRDefault="00FC734A" w:rsidP="00FC734A">
      <w:pPr>
        <w:numPr>
          <w:ilvl w:val="0"/>
          <w:numId w:val="8"/>
        </w:numPr>
        <w:suppressAutoHyphens w:val="0"/>
        <w:autoSpaceDN/>
        <w:spacing w:before="40" w:line="288" w:lineRule="auto"/>
        <w:contextualSpacing/>
        <w:textAlignment w:val="auto"/>
        <w:rPr>
          <w:rFonts w:ascii="Times New Roman" w:hAnsi="Times New Roman"/>
          <w:kern w:val="20"/>
          <w:sz w:val="24"/>
          <w:szCs w:val="24"/>
        </w:rPr>
      </w:pPr>
      <w:r>
        <w:rPr>
          <w:rFonts w:ascii="Times New Roman" w:hAnsi="Times New Roman"/>
          <w:kern w:val="20"/>
          <w:sz w:val="24"/>
          <w:szCs w:val="24"/>
        </w:rPr>
        <w:t>Proračuna O</w:t>
      </w:r>
      <w:r w:rsidRPr="00FC734A">
        <w:rPr>
          <w:rFonts w:ascii="Times New Roman" w:hAnsi="Times New Roman"/>
          <w:kern w:val="20"/>
          <w:sz w:val="24"/>
          <w:szCs w:val="24"/>
        </w:rPr>
        <w:t>pćine</w:t>
      </w:r>
      <w:r w:rsidR="00396528">
        <w:rPr>
          <w:rFonts w:ascii="Times New Roman" w:hAnsi="Times New Roman"/>
          <w:kern w:val="20"/>
          <w:sz w:val="24"/>
          <w:szCs w:val="24"/>
        </w:rPr>
        <w:t xml:space="preserve"> Josipdol kao o</w:t>
      </w:r>
      <w:r>
        <w:rPr>
          <w:rFonts w:ascii="Times New Roman" w:hAnsi="Times New Roman"/>
          <w:kern w:val="20"/>
          <w:sz w:val="24"/>
          <w:szCs w:val="24"/>
        </w:rPr>
        <w:t>s</w:t>
      </w:r>
      <w:r w:rsidR="00396528">
        <w:rPr>
          <w:rFonts w:ascii="Times New Roman" w:hAnsi="Times New Roman"/>
          <w:kern w:val="20"/>
          <w:sz w:val="24"/>
          <w:szCs w:val="24"/>
        </w:rPr>
        <w:t>n</w:t>
      </w:r>
      <w:r>
        <w:rPr>
          <w:rFonts w:ascii="Times New Roman" w:hAnsi="Times New Roman"/>
          <w:kern w:val="20"/>
          <w:sz w:val="24"/>
          <w:szCs w:val="24"/>
        </w:rPr>
        <w:t>ivača</w:t>
      </w:r>
      <w:r w:rsidRPr="00FC734A">
        <w:rPr>
          <w:rFonts w:ascii="Times New Roman" w:hAnsi="Times New Roman"/>
          <w:kern w:val="20"/>
          <w:sz w:val="24"/>
          <w:szCs w:val="24"/>
        </w:rPr>
        <w:t xml:space="preserve"> – OPĆI PRIHODI I PRIMICI</w:t>
      </w:r>
    </w:p>
    <w:p w:rsidR="00FC734A" w:rsidRPr="00FC734A" w:rsidRDefault="00FC734A" w:rsidP="00FC734A">
      <w:pPr>
        <w:numPr>
          <w:ilvl w:val="0"/>
          <w:numId w:val="8"/>
        </w:numPr>
        <w:suppressAutoHyphens w:val="0"/>
        <w:autoSpaceDN/>
        <w:spacing w:before="40" w:line="288" w:lineRule="auto"/>
        <w:contextualSpacing/>
        <w:textAlignment w:val="auto"/>
        <w:rPr>
          <w:rFonts w:ascii="Times New Roman" w:hAnsi="Times New Roman"/>
          <w:kern w:val="20"/>
          <w:sz w:val="24"/>
          <w:szCs w:val="24"/>
        </w:rPr>
      </w:pPr>
      <w:r w:rsidRPr="00FC734A">
        <w:rPr>
          <w:rFonts w:ascii="Times New Roman" w:hAnsi="Times New Roman"/>
          <w:kern w:val="20"/>
          <w:sz w:val="24"/>
          <w:szCs w:val="24"/>
        </w:rPr>
        <w:t xml:space="preserve">Sudjelovanje roditelja djece korisnika usluga- VLASTITI PRIHODI   </w:t>
      </w:r>
    </w:p>
    <w:p w:rsidR="00FC734A" w:rsidRPr="00FC734A" w:rsidRDefault="00FC734A" w:rsidP="00FC734A">
      <w:pPr>
        <w:numPr>
          <w:ilvl w:val="0"/>
          <w:numId w:val="8"/>
        </w:numPr>
        <w:suppressAutoHyphens w:val="0"/>
        <w:autoSpaceDN/>
        <w:spacing w:before="40" w:line="288" w:lineRule="auto"/>
        <w:contextualSpacing/>
        <w:textAlignment w:val="auto"/>
        <w:rPr>
          <w:rFonts w:ascii="Times New Roman" w:hAnsi="Times New Roman"/>
          <w:kern w:val="20"/>
          <w:sz w:val="24"/>
          <w:szCs w:val="24"/>
        </w:rPr>
      </w:pPr>
      <w:r w:rsidRPr="00FC734A">
        <w:rPr>
          <w:rFonts w:ascii="Times New Roman" w:hAnsi="Times New Roman"/>
          <w:kern w:val="20"/>
          <w:sz w:val="24"/>
          <w:szCs w:val="24"/>
        </w:rPr>
        <w:t>Fizičkih osoba – DONACIJE</w:t>
      </w:r>
    </w:p>
    <w:p w:rsidR="00FC734A" w:rsidRDefault="00FC734A" w:rsidP="00FC734A">
      <w:pPr>
        <w:numPr>
          <w:ilvl w:val="0"/>
          <w:numId w:val="8"/>
        </w:numPr>
        <w:suppressAutoHyphens w:val="0"/>
        <w:autoSpaceDN/>
        <w:spacing w:before="40" w:line="288" w:lineRule="auto"/>
        <w:contextualSpacing/>
        <w:textAlignment w:val="auto"/>
        <w:rPr>
          <w:rFonts w:ascii="Times New Roman" w:hAnsi="Times New Roman"/>
          <w:kern w:val="20"/>
          <w:sz w:val="24"/>
          <w:szCs w:val="24"/>
        </w:rPr>
      </w:pPr>
      <w:r w:rsidRPr="00FC734A">
        <w:rPr>
          <w:rFonts w:ascii="Times New Roman" w:hAnsi="Times New Roman"/>
          <w:kern w:val="20"/>
          <w:sz w:val="24"/>
          <w:szCs w:val="24"/>
        </w:rPr>
        <w:t>Drugih proračuna – POMOĆI</w:t>
      </w:r>
    </w:p>
    <w:p w:rsidR="00FC734A" w:rsidRPr="00FC734A" w:rsidRDefault="00FC734A" w:rsidP="00FC734A">
      <w:pPr>
        <w:suppressAutoHyphens w:val="0"/>
        <w:autoSpaceDN/>
        <w:spacing w:before="40" w:line="288" w:lineRule="auto"/>
        <w:contextualSpacing/>
        <w:textAlignment w:val="auto"/>
        <w:rPr>
          <w:rFonts w:ascii="Times New Roman" w:hAnsi="Times New Roman"/>
          <w:kern w:val="20"/>
          <w:sz w:val="24"/>
          <w:szCs w:val="24"/>
        </w:rPr>
      </w:pPr>
    </w:p>
    <w:p w:rsidR="00123086" w:rsidRPr="00123086" w:rsidRDefault="00123086" w:rsidP="00123086">
      <w:pPr>
        <w:spacing w:after="0"/>
        <w:ind w:firstLine="644"/>
        <w:jc w:val="both"/>
        <w:rPr>
          <w:rFonts w:ascii="Times New Roman" w:hAnsi="Times New Roman"/>
          <w:b/>
          <w:sz w:val="24"/>
          <w:szCs w:val="24"/>
        </w:rPr>
      </w:pPr>
      <w:r w:rsidRPr="00123086">
        <w:rPr>
          <w:rFonts w:ascii="Times New Roman" w:hAnsi="Times New Roman"/>
          <w:b/>
          <w:sz w:val="24"/>
          <w:szCs w:val="24"/>
        </w:rPr>
        <w:t>PROGRAM 3201 Predškolski odgoj</w:t>
      </w:r>
    </w:p>
    <w:p w:rsidR="00123086" w:rsidRPr="00123086" w:rsidRDefault="00123086" w:rsidP="001230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3086" w:rsidRPr="00123086" w:rsidRDefault="00123086" w:rsidP="00123086">
      <w:pPr>
        <w:spacing w:after="0"/>
        <w:ind w:firstLine="644"/>
        <w:jc w:val="both"/>
        <w:rPr>
          <w:rFonts w:ascii="Times New Roman" w:hAnsi="Times New Roman"/>
          <w:sz w:val="24"/>
          <w:szCs w:val="24"/>
        </w:rPr>
      </w:pPr>
      <w:r w:rsidRPr="00123086">
        <w:rPr>
          <w:rFonts w:ascii="Times New Roman" w:hAnsi="Times New Roman"/>
          <w:sz w:val="24"/>
          <w:szCs w:val="24"/>
        </w:rPr>
        <w:t>Ostvaruje se kroz provođenje sljedećih aktivnosti:</w:t>
      </w:r>
    </w:p>
    <w:p w:rsidR="00123086" w:rsidRPr="00123086" w:rsidRDefault="00123086" w:rsidP="00123086">
      <w:pPr>
        <w:widowControl w:val="0"/>
        <w:numPr>
          <w:ilvl w:val="0"/>
          <w:numId w:val="6"/>
        </w:numPr>
        <w:autoSpaceDN/>
        <w:spacing w:after="0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123086">
        <w:rPr>
          <w:rFonts w:ascii="Times New Roman" w:hAnsi="Times New Roman"/>
          <w:sz w:val="24"/>
          <w:szCs w:val="24"/>
        </w:rPr>
        <w:t>Redovna djelatnost DV Josipdol</w:t>
      </w:r>
    </w:p>
    <w:p w:rsidR="00123086" w:rsidRPr="00123086" w:rsidRDefault="00123086" w:rsidP="00123086">
      <w:pPr>
        <w:widowControl w:val="0"/>
        <w:numPr>
          <w:ilvl w:val="0"/>
          <w:numId w:val="6"/>
        </w:numPr>
        <w:autoSpaceDN/>
        <w:spacing w:after="0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123086">
        <w:rPr>
          <w:rFonts w:ascii="Times New Roman" w:hAnsi="Times New Roman"/>
          <w:sz w:val="24"/>
          <w:szCs w:val="24"/>
        </w:rPr>
        <w:t xml:space="preserve">Program </w:t>
      </w:r>
      <w:proofErr w:type="spellStart"/>
      <w:r w:rsidRPr="00123086">
        <w:rPr>
          <w:rFonts w:ascii="Times New Roman" w:hAnsi="Times New Roman"/>
          <w:sz w:val="24"/>
          <w:szCs w:val="24"/>
        </w:rPr>
        <w:t>predškole</w:t>
      </w:r>
      <w:proofErr w:type="spellEnd"/>
    </w:p>
    <w:p w:rsidR="00123086" w:rsidRPr="00123086" w:rsidRDefault="00123086" w:rsidP="00123086">
      <w:pPr>
        <w:widowControl w:val="0"/>
        <w:numPr>
          <w:ilvl w:val="0"/>
          <w:numId w:val="6"/>
        </w:numPr>
        <w:autoSpaceDN/>
        <w:spacing w:after="0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123086">
        <w:rPr>
          <w:rFonts w:ascii="Times New Roman" w:hAnsi="Times New Roman"/>
          <w:sz w:val="24"/>
          <w:szCs w:val="24"/>
        </w:rPr>
        <w:t xml:space="preserve">Program igraonica </w:t>
      </w:r>
    </w:p>
    <w:p w:rsidR="00123086" w:rsidRPr="00123086" w:rsidRDefault="00123086" w:rsidP="00123086">
      <w:pPr>
        <w:widowControl w:val="0"/>
        <w:autoSpaceDN/>
        <w:spacing w:after="0"/>
        <w:ind w:left="100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123086" w:rsidRDefault="00123086" w:rsidP="00123086">
      <w:pPr>
        <w:widowControl w:val="0"/>
        <w:autoSpaceDN/>
        <w:spacing w:after="0"/>
        <w:ind w:firstLine="644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23086">
        <w:rPr>
          <w:rFonts w:ascii="Times New Roman" w:hAnsi="Times New Roman"/>
          <w:sz w:val="24"/>
          <w:szCs w:val="24"/>
        </w:rPr>
        <w:t xml:space="preserve">Program je </w:t>
      </w:r>
      <w:r w:rsidRPr="00123086">
        <w:rPr>
          <w:rFonts w:ascii="Times New Roman" w:eastAsia="Times New Roman" w:hAnsi="Times New Roman"/>
          <w:color w:val="000000"/>
          <w:sz w:val="24"/>
          <w:szCs w:val="24"/>
        </w:rPr>
        <w:t>usmjeren razvoju predškolskog obrazovanja. Svrha mjere je ulaganjima u rani i predškolski odgoj i obrazovanje isti učiniti kvalitetnim i dostupnim djeci s područja Općine.</w:t>
      </w:r>
    </w:p>
    <w:p w:rsidR="00FC734A" w:rsidRPr="00123086" w:rsidRDefault="00FC734A" w:rsidP="00123086">
      <w:pPr>
        <w:widowControl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123086" w:rsidRDefault="00123086" w:rsidP="00123086">
      <w:pPr>
        <w:spacing w:after="0"/>
        <w:ind w:firstLine="330"/>
        <w:jc w:val="both"/>
        <w:rPr>
          <w:rFonts w:ascii="Times New Roman" w:hAnsi="Times New Roman"/>
          <w:sz w:val="24"/>
          <w:szCs w:val="24"/>
        </w:rPr>
      </w:pPr>
      <w:r w:rsidRPr="005A120E">
        <w:rPr>
          <w:rFonts w:ascii="Times New Roman" w:hAnsi="Times New Roman"/>
          <w:b/>
          <w:i/>
          <w:sz w:val="24"/>
          <w:szCs w:val="24"/>
        </w:rPr>
        <w:t>Redovna djelatnost DV Josipdol</w:t>
      </w:r>
      <w:r w:rsidRPr="005A120E">
        <w:rPr>
          <w:rFonts w:ascii="Times New Roman" w:hAnsi="Times New Roman"/>
          <w:b/>
          <w:sz w:val="24"/>
          <w:szCs w:val="24"/>
        </w:rPr>
        <w:t xml:space="preserve"> </w:t>
      </w:r>
      <w:r w:rsidRPr="00123086">
        <w:rPr>
          <w:rFonts w:ascii="Times New Roman" w:hAnsi="Times New Roman"/>
          <w:sz w:val="24"/>
          <w:szCs w:val="24"/>
        </w:rPr>
        <w:t>obuhvaća rashode za plaće djelatnika, energiju, uredski materijal, sitni inventar, namirnice i sve ostale rashode prikazane u financijskom planu potrebne za redovno funkcioniranje i rad DV Josipdol.</w:t>
      </w:r>
    </w:p>
    <w:p w:rsidR="00FC734A" w:rsidRDefault="00FC734A" w:rsidP="00123086">
      <w:pPr>
        <w:spacing w:after="0"/>
        <w:ind w:firstLine="330"/>
        <w:jc w:val="both"/>
        <w:rPr>
          <w:rFonts w:ascii="Times New Roman" w:hAnsi="Times New Roman"/>
          <w:sz w:val="24"/>
          <w:szCs w:val="24"/>
        </w:rPr>
      </w:pPr>
    </w:p>
    <w:p w:rsidR="00FC734A" w:rsidRPr="00B143A2" w:rsidRDefault="00FC734A" w:rsidP="00FC734A">
      <w:pPr>
        <w:suppressAutoHyphens w:val="0"/>
        <w:autoSpaceDN/>
        <w:spacing w:before="40" w:line="288" w:lineRule="auto"/>
        <w:contextualSpacing/>
        <w:textAlignment w:val="auto"/>
        <w:rPr>
          <w:rFonts w:ascii="Times New Roman" w:eastAsiaTheme="minorHAnsi" w:hAnsi="Times New Roman"/>
          <w:kern w:val="20"/>
          <w:sz w:val="24"/>
          <w:szCs w:val="24"/>
          <w:u w:val="single"/>
          <w:lang w:eastAsia="hr-HR"/>
        </w:rPr>
      </w:pPr>
      <w:r w:rsidRPr="00B143A2">
        <w:rPr>
          <w:rFonts w:ascii="Times New Roman" w:eastAsiaTheme="minorHAnsi" w:hAnsi="Times New Roman"/>
          <w:kern w:val="20"/>
          <w:sz w:val="24"/>
          <w:szCs w:val="24"/>
          <w:u w:val="single"/>
          <w:lang w:eastAsia="hr-HR"/>
        </w:rPr>
        <w:t xml:space="preserve">Djelatnici </w:t>
      </w:r>
      <w:r w:rsidR="00B143A2" w:rsidRPr="00B143A2">
        <w:rPr>
          <w:rFonts w:ascii="Times New Roman" w:eastAsiaTheme="minorHAnsi" w:hAnsi="Times New Roman"/>
          <w:kern w:val="20"/>
          <w:sz w:val="24"/>
          <w:szCs w:val="24"/>
          <w:u w:val="single"/>
          <w:lang w:eastAsia="hr-HR"/>
        </w:rPr>
        <w:t xml:space="preserve">zaposleni u vrtiću </w:t>
      </w:r>
      <w:r w:rsidRPr="00B143A2">
        <w:rPr>
          <w:rFonts w:ascii="Times New Roman" w:eastAsiaTheme="minorHAnsi" w:hAnsi="Times New Roman"/>
          <w:kern w:val="20"/>
          <w:sz w:val="24"/>
          <w:szCs w:val="24"/>
          <w:u w:val="single"/>
          <w:lang w:eastAsia="hr-HR"/>
        </w:rPr>
        <w:t xml:space="preserve">i financijski izdaci za plaće u 2023. </w:t>
      </w:r>
    </w:p>
    <w:p w:rsidR="00FC734A" w:rsidRPr="00FC734A" w:rsidRDefault="00FC734A" w:rsidP="00FC734A">
      <w:pPr>
        <w:suppressAutoHyphens w:val="0"/>
        <w:autoSpaceDN/>
        <w:spacing w:before="40" w:line="288" w:lineRule="auto"/>
        <w:contextualSpacing/>
        <w:textAlignment w:val="auto"/>
        <w:rPr>
          <w:rFonts w:asciiTheme="majorHAnsi" w:eastAsiaTheme="minorHAnsi" w:hAnsiTheme="majorHAnsi" w:cstheme="majorHAnsi"/>
          <w:b/>
          <w:kern w:val="20"/>
          <w:u w:val="single"/>
          <w:lang w:eastAsia="hr-H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1907"/>
        <w:gridCol w:w="1767"/>
        <w:gridCol w:w="1450"/>
        <w:gridCol w:w="1236"/>
      </w:tblGrid>
      <w:tr w:rsidR="00FC734A" w:rsidRPr="00FC734A" w:rsidTr="00325BC8">
        <w:tc>
          <w:tcPr>
            <w:tcW w:w="2514" w:type="dxa"/>
          </w:tcPr>
          <w:p w:rsidR="00FC734A" w:rsidRPr="00FC734A" w:rsidRDefault="00FC734A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b/>
                <w:kern w:val="20"/>
                <w:sz w:val="20"/>
                <w:szCs w:val="20"/>
                <w:lang w:eastAsia="hr-HR"/>
              </w:rPr>
            </w:pPr>
          </w:p>
          <w:p w:rsidR="00FC734A" w:rsidRPr="00FC734A" w:rsidRDefault="00FC734A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b/>
                <w:kern w:val="20"/>
                <w:sz w:val="20"/>
                <w:szCs w:val="20"/>
                <w:lang w:eastAsia="hr-HR"/>
              </w:rPr>
            </w:pPr>
            <w:r w:rsidRPr="00FC734A">
              <w:rPr>
                <w:rFonts w:ascii="Times New Roman" w:eastAsiaTheme="minorHAnsi" w:hAnsi="Times New Roman"/>
                <w:b/>
                <w:kern w:val="20"/>
                <w:sz w:val="20"/>
                <w:szCs w:val="20"/>
                <w:lang w:eastAsia="hr-HR"/>
              </w:rPr>
              <w:t>Radno mjesto</w:t>
            </w:r>
          </w:p>
        </w:tc>
        <w:tc>
          <w:tcPr>
            <w:tcW w:w="1907" w:type="dxa"/>
          </w:tcPr>
          <w:p w:rsidR="00FC734A" w:rsidRPr="00FC734A" w:rsidRDefault="00FC734A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b/>
                <w:kern w:val="20"/>
                <w:sz w:val="20"/>
                <w:szCs w:val="20"/>
                <w:lang w:eastAsia="hr-HR"/>
              </w:rPr>
            </w:pPr>
          </w:p>
          <w:p w:rsidR="00FC734A" w:rsidRPr="00FC734A" w:rsidRDefault="00FC734A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b/>
                <w:kern w:val="20"/>
                <w:sz w:val="20"/>
                <w:szCs w:val="20"/>
                <w:lang w:eastAsia="hr-HR"/>
              </w:rPr>
            </w:pPr>
            <w:r w:rsidRPr="00FC734A">
              <w:rPr>
                <w:rFonts w:ascii="Times New Roman" w:eastAsiaTheme="minorHAnsi" w:hAnsi="Times New Roman"/>
                <w:b/>
                <w:kern w:val="20"/>
                <w:sz w:val="20"/>
                <w:szCs w:val="20"/>
                <w:lang w:eastAsia="hr-HR"/>
              </w:rPr>
              <w:t>Broj djelatnika</w:t>
            </w:r>
          </w:p>
        </w:tc>
        <w:tc>
          <w:tcPr>
            <w:tcW w:w="1767" w:type="dxa"/>
          </w:tcPr>
          <w:p w:rsidR="00FC734A" w:rsidRPr="00FC734A" w:rsidRDefault="00FC734A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b/>
                <w:kern w:val="20"/>
                <w:sz w:val="20"/>
                <w:szCs w:val="20"/>
                <w:lang w:eastAsia="hr-HR"/>
              </w:rPr>
            </w:pPr>
            <w:r w:rsidRPr="00FC734A">
              <w:rPr>
                <w:rFonts w:ascii="Times New Roman" w:eastAsiaTheme="minorHAnsi" w:hAnsi="Times New Roman"/>
                <w:b/>
                <w:kern w:val="20"/>
                <w:sz w:val="20"/>
                <w:szCs w:val="20"/>
                <w:lang w:eastAsia="hr-HR"/>
              </w:rPr>
              <w:t>Neodređeno puno radno vrijeme</w:t>
            </w:r>
          </w:p>
        </w:tc>
        <w:tc>
          <w:tcPr>
            <w:tcW w:w="1450" w:type="dxa"/>
          </w:tcPr>
          <w:p w:rsidR="00FC734A" w:rsidRPr="00FC734A" w:rsidRDefault="00FC734A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b/>
                <w:kern w:val="20"/>
                <w:sz w:val="20"/>
                <w:szCs w:val="20"/>
                <w:lang w:eastAsia="hr-HR"/>
              </w:rPr>
            </w:pPr>
            <w:r w:rsidRPr="00FC734A">
              <w:rPr>
                <w:rFonts w:ascii="Times New Roman" w:eastAsiaTheme="minorHAnsi" w:hAnsi="Times New Roman"/>
                <w:b/>
                <w:kern w:val="20"/>
                <w:sz w:val="20"/>
                <w:szCs w:val="20"/>
                <w:lang w:eastAsia="hr-HR"/>
              </w:rPr>
              <w:t>Neodređeno nepuno radno vrijeme</w:t>
            </w:r>
          </w:p>
        </w:tc>
        <w:tc>
          <w:tcPr>
            <w:tcW w:w="1236" w:type="dxa"/>
          </w:tcPr>
          <w:p w:rsidR="00FC734A" w:rsidRPr="00FC734A" w:rsidRDefault="00FC734A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b/>
                <w:kern w:val="20"/>
                <w:sz w:val="20"/>
                <w:szCs w:val="20"/>
                <w:lang w:eastAsia="hr-HR"/>
              </w:rPr>
            </w:pPr>
            <w:r w:rsidRPr="00FC734A">
              <w:rPr>
                <w:rFonts w:ascii="Times New Roman" w:eastAsiaTheme="minorHAnsi" w:hAnsi="Times New Roman"/>
                <w:b/>
                <w:kern w:val="20"/>
                <w:sz w:val="20"/>
                <w:szCs w:val="20"/>
                <w:lang w:eastAsia="hr-HR"/>
              </w:rPr>
              <w:t>Određeno nepuno radno vrijeme</w:t>
            </w:r>
          </w:p>
        </w:tc>
      </w:tr>
      <w:tr w:rsidR="00FC734A" w:rsidRPr="00FC734A" w:rsidTr="00325BC8">
        <w:tc>
          <w:tcPr>
            <w:tcW w:w="2514" w:type="dxa"/>
          </w:tcPr>
          <w:p w:rsidR="00FC734A" w:rsidRPr="00FC734A" w:rsidRDefault="00FC734A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</w:pPr>
            <w:r w:rsidRPr="00FC734A"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  <w:lastRenderedPageBreak/>
              <w:t>Ravnatelj</w:t>
            </w:r>
          </w:p>
        </w:tc>
        <w:tc>
          <w:tcPr>
            <w:tcW w:w="1907" w:type="dxa"/>
          </w:tcPr>
          <w:p w:rsidR="00FC734A" w:rsidRPr="00FC734A" w:rsidRDefault="00FC734A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</w:pPr>
            <w:r w:rsidRPr="00B143A2"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67" w:type="dxa"/>
          </w:tcPr>
          <w:p w:rsidR="00FC734A" w:rsidRPr="00FC734A" w:rsidRDefault="00B143A2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</w:pPr>
            <w:r w:rsidRPr="00B143A2"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50" w:type="dxa"/>
          </w:tcPr>
          <w:p w:rsidR="00FC734A" w:rsidRPr="00FC734A" w:rsidRDefault="00FC734A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</w:pPr>
          </w:p>
        </w:tc>
        <w:tc>
          <w:tcPr>
            <w:tcW w:w="1236" w:type="dxa"/>
          </w:tcPr>
          <w:p w:rsidR="00FC734A" w:rsidRPr="00FC734A" w:rsidRDefault="00FC734A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</w:pPr>
          </w:p>
        </w:tc>
      </w:tr>
      <w:tr w:rsidR="00FC734A" w:rsidRPr="00FC734A" w:rsidTr="00325BC8">
        <w:tc>
          <w:tcPr>
            <w:tcW w:w="2514" w:type="dxa"/>
          </w:tcPr>
          <w:p w:rsidR="00FC734A" w:rsidRPr="00FC734A" w:rsidRDefault="00FC734A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</w:pPr>
            <w:r w:rsidRPr="00FC734A"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  <w:t>Odgojitelj</w:t>
            </w:r>
          </w:p>
        </w:tc>
        <w:tc>
          <w:tcPr>
            <w:tcW w:w="1907" w:type="dxa"/>
          </w:tcPr>
          <w:p w:rsidR="00FC734A" w:rsidRPr="00FC734A" w:rsidRDefault="00B143A2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</w:pPr>
            <w:r w:rsidRPr="00B143A2"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767" w:type="dxa"/>
          </w:tcPr>
          <w:p w:rsidR="00FC734A" w:rsidRPr="00FC734A" w:rsidRDefault="00B143A2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</w:pPr>
            <w:r w:rsidRPr="00B143A2"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450" w:type="dxa"/>
          </w:tcPr>
          <w:p w:rsidR="00FC734A" w:rsidRPr="00FC734A" w:rsidRDefault="00B143A2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</w:pPr>
            <w:r w:rsidRPr="00B143A2"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36" w:type="dxa"/>
          </w:tcPr>
          <w:p w:rsidR="00FC734A" w:rsidRPr="00FC734A" w:rsidRDefault="00B143A2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</w:pPr>
            <w:r w:rsidRPr="00B143A2"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  <w:t>3</w:t>
            </w:r>
          </w:p>
        </w:tc>
      </w:tr>
      <w:tr w:rsidR="00B143A2" w:rsidRPr="00FC734A" w:rsidTr="00325BC8">
        <w:tc>
          <w:tcPr>
            <w:tcW w:w="2514" w:type="dxa"/>
          </w:tcPr>
          <w:p w:rsidR="00B143A2" w:rsidRPr="00FC734A" w:rsidRDefault="00B143A2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</w:pPr>
            <w:r w:rsidRPr="00FC734A"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  <w:t>Spremačica</w:t>
            </w:r>
          </w:p>
        </w:tc>
        <w:tc>
          <w:tcPr>
            <w:tcW w:w="1907" w:type="dxa"/>
          </w:tcPr>
          <w:p w:rsidR="00B143A2" w:rsidRPr="00FC734A" w:rsidRDefault="00B143A2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</w:pPr>
            <w:r w:rsidRPr="00B143A2"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67" w:type="dxa"/>
          </w:tcPr>
          <w:p w:rsidR="00B143A2" w:rsidRPr="00FC734A" w:rsidRDefault="00B143A2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</w:pPr>
            <w:r w:rsidRPr="00B143A2"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50" w:type="dxa"/>
          </w:tcPr>
          <w:p w:rsidR="00B143A2" w:rsidRPr="00FC734A" w:rsidRDefault="00B143A2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</w:pPr>
          </w:p>
        </w:tc>
        <w:tc>
          <w:tcPr>
            <w:tcW w:w="1236" w:type="dxa"/>
          </w:tcPr>
          <w:p w:rsidR="00B143A2" w:rsidRPr="00FC734A" w:rsidRDefault="00B143A2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</w:pPr>
          </w:p>
        </w:tc>
      </w:tr>
      <w:tr w:rsidR="00B143A2" w:rsidRPr="00FC734A" w:rsidTr="00325BC8">
        <w:trPr>
          <w:trHeight w:val="511"/>
        </w:trPr>
        <w:tc>
          <w:tcPr>
            <w:tcW w:w="2514" w:type="dxa"/>
          </w:tcPr>
          <w:p w:rsidR="00B143A2" w:rsidRPr="00FC734A" w:rsidRDefault="00B143A2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</w:pPr>
            <w:r w:rsidRPr="00FC734A"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  <w:t>Kuharica</w:t>
            </w:r>
          </w:p>
        </w:tc>
        <w:tc>
          <w:tcPr>
            <w:tcW w:w="1907" w:type="dxa"/>
          </w:tcPr>
          <w:p w:rsidR="00B143A2" w:rsidRPr="00FC734A" w:rsidRDefault="00B143A2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</w:pPr>
            <w:r w:rsidRPr="00B143A2"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67" w:type="dxa"/>
          </w:tcPr>
          <w:p w:rsidR="00B143A2" w:rsidRPr="00FC734A" w:rsidRDefault="00B143A2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</w:pPr>
            <w:r w:rsidRPr="00B143A2"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50" w:type="dxa"/>
          </w:tcPr>
          <w:p w:rsidR="00B143A2" w:rsidRPr="00FC734A" w:rsidRDefault="00B143A2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</w:pPr>
          </w:p>
        </w:tc>
        <w:tc>
          <w:tcPr>
            <w:tcW w:w="1236" w:type="dxa"/>
          </w:tcPr>
          <w:p w:rsidR="00B143A2" w:rsidRPr="00FC734A" w:rsidRDefault="00B143A2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</w:pPr>
          </w:p>
        </w:tc>
      </w:tr>
      <w:tr w:rsidR="00B143A2" w:rsidRPr="00FC734A" w:rsidTr="00325BC8">
        <w:tc>
          <w:tcPr>
            <w:tcW w:w="2514" w:type="dxa"/>
          </w:tcPr>
          <w:p w:rsidR="00B143A2" w:rsidRPr="00FC734A" w:rsidRDefault="00B143A2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</w:pPr>
            <w:r w:rsidRPr="00FC734A">
              <w:rPr>
                <w:rFonts w:ascii="Times New Roman" w:eastAsiaTheme="minorHAnsi" w:hAnsi="Times New Roman"/>
                <w:b/>
                <w:kern w:val="2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907" w:type="dxa"/>
          </w:tcPr>
          <w:p w:rsidR="00B143A2" w:rsidRPr="00FC734A" w:rsidRDefault="00B143A2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</w:pPr>
            <w:r w:rsidRPr="00B143A2"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1767" w:type="dxa"/>
          </w:tcPr>
          <w:p w:rsidR="00B143A2" w:rsidRPr="00FC734A" w:rsidRDefault="00B143A2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</w:pPr>
            <w:r w:rsidRPr="00B143A2"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450" w:type="dxa"/>
          </w:tcPr>
          <w:p w:rsidR="00B143A2" w:rsidRPr="00FC734A" w:rsidRDefault="00B143A2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</w:pPr>
            <w:r w:rsidRPr="00B143A2"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36" w:type="dxa"/>
          </w:tcPr>
          <w:p w:rsidR="00B143A2" w:rsidRPr="00FC734A" w:rsidRDefault="00B143A2" w:rsidP="00FC734A">
            <w:pPr>
              <w:suppressAutoHyphens w:val="0"/>
              <w:autoSpaceDN/>
              <w:spacing w:before="40" w:line="288" w:lineRule="auto"/>
              <w:jc w:val="center"/>
              <w:textAlignment w:val="auto"/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</w:pPr>
            <w:r w:rsidRPr="00B143A2">
              <w:rPr>
                <w:rFonts w:ascii="Times New Roman" w:eastAsiaTheme="minorHAnsi" w:hAnsi="Times New Roman"/>
                <w:kern w:val="20"/>
                <w:sz w:val="20"/>
                <w:szCs w:val="20"/>
                <w:lang w:eastAsia="hr-HR"/>
              </w:rPr>
              <w:t>3</w:t>
            </w:r>
          </w:p>
        </w:tc>
      </w:tr>
    </w:tbl>
    <w:p w:rsidR="00FC734A" w:rsidRDefault="00FC734A" w:rsidP="00123086">
      <w:pPr>
        <w:spacing w:after="0"/>
        <w:ind w:firstLine="330"/>
        <w:jc w:val="both"/>
        <w:rPr>
          <w:rFonts w:ascii="Times New Roman" w:hAnsi="Times New Roman"/>
          <w:sz w:val="24"/>
          <w:szCs w:val="24"/>
        </w:rPr>
      </w:pPr>
    </w:p>
    <w:p w:rsidR="00B143A2" w:rsidRPr="00B143A2" w:rsidRDefault="00B143A2" w:rsidP="005A120E">
      <w:pPr>
        <w:suppressAutoHyphens w:val="0"/>
        <w:autoSpaceDN/>
        <w:spacing w:before="40" w:line="259" w:lineRule="auto"/>
        <w:jc w:val="both"/>
        <w:textAlignment w:val="auto"/>
        <w:rPr>
          <w:rFonts w:asciiTheme="majorHAnsi" w:hAnsiTheme="majorHAnsi" w:cstheme="majorHAnsi"/>
          <w:kern w:val="20"/>
        </w:rPr>
      </w:pPr>
      <w:r w:rsidRPr="005A120E">
        <w:rPr>
          <w:rFonts w:ascii="Times New Roman" w:hAnsi="Times New Roman"/>
          <w:kern w:val="20"/>
          <w:sz w:val="24"/>
          <w:szCs w:val="24"/>
        </w:rPr>
        <w:t xml:space="preserve">Sredstva potrebna za financiranje plaća i ostalih materijalnih davanja za </w:t>
      </w:r>
      <w:r w:rsidR="00396528" w:rsidRPr="005A120E">
        <w:rPr>
          <w:rFonts w:ascii="Times New Roman" w:hAnsi="Times New Roman"/>
          <w:kern w:val="20"/>
          <w:sz w:val="24"/>
          <w:szCs w:val="24"/>
        </w:rPr>
        <w:t>18</w:t>
      </w:r>
      <w:r w:rsidRPr="005A120E">
        <w:rPr>
          <w:rFonts w:ascii="Times New Roman" w:hAnsi="Times New Roman"/>
          <w:kern w:val="20"/>
          <w:sz w:val="24"/>
          <w:szCs w:val="24"/>
        </w:rPr>
        <w:t xml:space="preserve"> djelatnika zaposlenih u vrt</w:t>
      </w:r>
      <w:r w:rsidR="00396528" w:rsidRPr="005A120E">
        <w:rPr>
          <w:rFonts w:ascii="Times New Roman" w:hAnsi="Times New Roman"/>
          <w:kern w:val="20"/>
          <w:sz w:val="24"/>
          <w:szCs w:val="24"/>
        </w:rPr>
        <w:t>iću u 2023. godini iznosila bi 253.030,00 EUR</w:t>
      </w:r>
      <w:r w:rsidR="005A120E">
        <w:rPr>
          <w:rFonts w:asciiTheme="majorHAnsi" w:hAnsiTheme="majorHAnsi" w:cstheme="majorHAnsi"/>
          <w:kern w:val="20"/>
        </w:rPr>
        <w:t>.</w:t>
      </w:r>
    </w:p>
    <w:p w:rsidR="00B143A2" w:rsidRDefault="00B143A2" w:rsidP="00123086">
      <w:pPr>
        <w:pStyle w:val="Odlomakpopisa1"/>
        <w:widowControl w:val="0"/>
        <w:spacing w:before="0" w:after="0" w:line="276" w:lineRule="auto"/>
        <w:ind w:left="0" w:firstLine="33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123086" w:rsidRPr="00123086" w:rsidRDefault="00123086" w:rsidP="00123086">
      <w:pPr>
        <w:pStyle w:val="Odlomakpopisa1"/>
        <w:widowControl w:val="0"/>
        <w:spacing w:before="0" w:after="0" w:line="276" w:lineRule="auto"/>
        <w:ind w:left="0" w:firstLine="330"/>
        <w:jc w:val="both"/>
        <w:rPr>
          <w:rFonts w:ascii="Times New Roman" w:hAnsi="Times New Roman" w:cs="Times New Roman"/>
          <w:sz w:val="24"/>
          <w:szCs w:val="24"/>
        </w:rPr>
      </w:pPr>
      <w:r w:rsidRPr="0012308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Financijskim planom za 2023. godinu uzeti su u obzir </w:t>
      </w:r>
      <w:r w:rsidR="00B143A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i </w:t>
      </w:r>
      <w:r w:rsidRPr="00123086">
        <w:rPr>
          <w:rFonts w:ascii="Times New Roman" w:hAnsi="Times New Roman" w:cs="Times New Roman"/>
          <w:bCs/>
          <w:color w:val="auto"/>
          <w:sz w:val="24"/>
          <w:szCs w:val="24"/>
        </w:rPr>
        <w:t>trendovi rasta troškova namirnica, energenata, usluga i sl. i kako bi se i dalje osigurala kvaliteta rada i materijalnih uvjeta polaznika vrtića struktura rashoda ukazala je na potrebu povećanja participacije roditelja.</w:t>
      </w:r>
    </w:p>
    <w:p w:rsidR="00123086" w:rsidRPr="00123086" w:rsidRDefault="00123086" w:rsidP="001230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3086" w:rsidRDefault="00123086" w:rsidP="00123086">
      <w:pPr>
        <w:spacing w:after="0"/>
        <w:ind w:firstLine="330"/>
        <w:jc w:val="both"/>
        <w:rPr>
          <w:rFonts w:ascii="Times New Roman" w:hAnsi="Times New Roman"/>
          <w:sz w:val="24"/>
          <w:szCs w:val="24"/>
        </w:rPr>
      </w:pPr>
      <w:r w:rsidRPr="005A120E">
        <w:rPr>
          <w:rFonts w:ascii="Times New Roman" w:hAnsi="Times New Roman"/>
          <w:b/>
          <w:i/>
          <w:sz w:val="24"/>
          <w:szCs w:val="24"/>
        </w:rPr>
        <w:t xml:space="preserve">Aktivnosti </w:t>
      </w:r>
      <w:proofErr w:type="spellStart"/>
      <w:r w:rsidRPr="005A120E">
        <w:rPr>
          <w:rFonts w:ascii="Times New Roman" w:hAnsi="Times New Roman"/>
          <w:b/>
          <w:i/>
          <w:sz w:val="24"/>
          <w:szCs w:val="24"/>
        </w:rPr>
        <w:t>predškole</w:t>
      </w:r>
      <w:proofErr w:type="spellEnd"/>
      <w:r w:rsidRPr="00123086">
        <w:rPr>
          <w:rFonts w:ascii="Times New Roman" w:hAnsi="Times New Roman"/>
          <w:sz w:val="24"/>
          <w:szCs w:val="24"/>
        </w:rPr>
        <w:t xml:space="preserve"> -  ovom aktivnošću osiguravaju se sredstva za financiranje plaća za zaposlene u Programu </w:t>
      </w:r>
      <w:proofErr w:type="spellStart"/>
      <w:r w:rsidRPr="00123086">
        <w:rPr>
          <w:rFonts w:ascii="Times New Roman" w:hAnsi="Times New Roman"/>
          <w:sz w:val="24"/>
          <w:szCs w:val="24"/>
        </w:rPr>
        <w:t>predškole</w:t>
      </w:r>
      <w:proofErr w:type="spellEnd"/>
      <w:r w:rsidRPr="00123086">
        <w:rPr>
          <w:rFonts w:ascii="Times New Roman" w:hAnsi="Times New Roman"/>
          <w:sz w:val="24"/>
          <w:szCs w:val="24"/>
        </w:rPr>
        <w:t xml:space="preserve">, naknade za prijevoz i ostala materijalna prava zaposlenih u programu </w:t>
      </w:r>
      <w:proofErr w:type="spellStart"/>
      <w:r w:rsidRPr="00123086">
        <w:rPr>
          <w:rFonts w:ascii="Times New Roman" w:hAnsi="Times New Roman"/>
          <w:sz w:val="24"/>
          <w:szCs w:val="24"/>
        </w:rPr>
        <w:t>predškole</w:t>
      </w:r>
      <w:proofErr w:type="spellEnd"/>
      <w:r w:rsidRPr="00123086">
        <w:rPr>
          <w:rFonts w:ascii="Times New Roman" w:hAnsi="Times New Roman"/>
          <w:sz w:val="24"/>
          <w:szCs w:val="24"/>
        </w:rPr>
        <w:t>.</w:t>
      </w:r>
    </w:p>
    <w:p w:rsidR="00123086" w:rsidRDefault="00123086" w:rsidP="001230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3086" w:rsidRPr="00123086" w:rsidRDefault="00123086" w:rsidP="00123086">
      <w:pPr>
        <w:spacing w:after="0"/>
        <w:ind w:firstLine="330"/>
        <w:jc w:val="both"/>
        <w:rPr>
          <w:rFonts w:ascii="Times New Roman" w:hAnsi="Times New Roman"/>
          <w:sz w:val="24"/>
          <w:szCs w:val="24"/>
        </w:rPr>
      </w:pPr>
      <w:r w:rsidRPr="005A120E">
        <w:rPr>
          <w:rFonts w:ascii="Times New Roman" w:hAnsi="Times New Roman"/>
          <w:b/>
          <w:i/>
          <w:sz w:val="24"/>
          <w:szCs w:val="24"/>
        </w:rPr>
        <w:t>Program igraonica</w:t>
      </w:r>
      <w:r w:rsidRPr="00123086">
        <w:rPr>
          <w:rFonts w:ascii="Times New Roman" w:hAnsi="Times New Roman"/>
          <w:sz w:val="24"/>
          <w:szCs w:val="24"/>
        </w:rPr>
        <w:t xml:space="preserve"> – obuhvaća sredstva za sredstva za financiranje plaća za zaposlene u Programu igraonica, naknade za prijevoz i ostala materijalna prava zaposlenih.</w:t>
      </w:r>
    </w:p>
    <w:p w:rsidR="00123086" w:rsidRPr="00123086" w:rsidRDefault="00123086" w:rsidP="001230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3086" w:rsidRPr="00123086" w:rsidRDefault="00123086" w:rsidP="00123086">
      <w:pPr>
        <w:jc w:val="both"/>
        <w:rPr>
          <w:rFonts w:ascii="Arial" w:hAnsi="Arial" w:cs="Arial"/>
          <w:sz w:val="20"/>
          <w:szCs w:val="20"/>
          <w:u w:val="single"/>
        </w:rPr>
      </w:pPr>
      <w:r w:rsidRPr="00123086">
        <w:rPr>
          <w:rFonts w:ascii="Times New Roman" w:hAnsi="Times New Roman"/>
          <w:sz w:val="24"/>
          <w:szCs w:val="24"/>
          <w:u w:val="single"/>
        </w:rPr>
        <w:t>Ciljevi program</w:t>
      </w:r>
      <w:r w:rsidRPr="00123086">
        <w:rPr>
          <w:rFonts w:ascii="Arial" w:hAnsi="Arial" w:cs="Arial"/>
          <w:sz w:val="20"/>
          <w:szCs w:val="20"/>
          <w:u w:val="single"/>
        </w:rPr>
        <w:t xml:space="preserve">a: </w:t>
      </w:r>
    </w:p>
    <w:p w:rsidR="00123086" w:rsidRPr="00123086" w:rsidRDefault="00123086" w:rsidP="00123086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123086">
        <w:rPr>
          <w:rFonts w:ascii="Times New Roman" w:hAnsi="Times New Roman"/>
          <w:sz w:val="24"/>
          <w:szCs w:val="24"/>
        </w:rPr>
        <w:t>poticanje znanja i izvrsnosti, dok je posebni cilj održiva kvaliteta obrazovnog i odgojnog sustava.</w:t>
      </w:r>
    </w:p>
    <w:p w:rsidR="00123086" w:rsidRPr="00123086" w:rsidRDefault="00123086" w:rsidP="00123086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123086">
        <w:rPr>
          <w:rFonts w:ascii="Times New Roman" w:hAnsi="Times New Roman"/>
          <w:sz w:val="24"/>
          <w:szCs w:val="24"/>
        </w:rPr>
        <w:t xml:space="preserve">cjeloviti razvoj djeteta te razvoj potencijala za cjeloživotno učenje. </w:t>
      </w:r>
    </w:p>
    <w:p w:rsidR="00123086" w:rsidRPr="00123086" w:rsidRDefault="00123086" w:rsidP="00123086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123086">
        <w:rPr>
          <w:rFonts w:ascii="Times New Roman" w:hAnsi="Times New Roman"/>
          <w:sz w:val="24"/>
          <w:szCs w:val="24"/>
        </w:rPr>
        <w:t xml:space="preserve">redovitim programom zadovoljiti potrebe i interes djece kao i potrebe njihovih roditelja. </w:t>
      </w:r>
    </w:p>
    <w:p w:rsidR="00123086" w:rsidRPr="00123086" w:rsidRDefault="00123086" w:rsidP="00123086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123086">
        <w:rPr>
          <w:rFonts w:ascii="Times New Roman" w:hAnsi="Times New Roman"/>
          <w:sz w:val="24"/>
          <w:szCs w:val="24"/>
        </w:rPr>
        <w:t xml:space="preserve">za djecu pred polazak u školu zakonski je obvezan Program </w:t>
      </w:r>
      <w:proofErr w:type="spellStart"/>
      <w:r w:rsidRPr="00123086">
        <w:rPr>
          <w:rFonts w:ascii="Times New Roman" w:hAnsi="Times New Roman"/>
          <w:sz w:val="24"/>
          <w:szCs w:val="24"/>
        </w:rPr>
        <w:t>predškole</w:t>
      </w:r>
      <w:proofErr w:type="spellEnd"/>
      <w:r w:rsidRPr="00123086">
        <w:rPr>
          <w:rFonts w:ascii="Times New Roman" w:hAnsi="Times New Roman"/>
          <w:sz w:val="24"/>
          <w:szCs w:val="24"/>
        </w:rPr>
        <w:t xml:space="preserve"> kojim se nastoji svakom djetetu pružiti optimalne uvjete za razvijanje vještina, navika i znanja potrebnih za razvoj u školskom okruženju.</w:t>
      </w:r>
    </w:p>
    <w:p w:rsidR="00123086" w:rsidRPr="00123086" w:rsidRDefault="00123086" w:rsidP="00123086">
      <w:pPr>
        <w:numPr>
          <w:ilvl w:val="0"/>
          <w:numId w:val="5"/>
        </w:numPr>
        <w:suppressAutoHyphens w:val="0"/>
        <w:autoSpaceDN/>
        <w:spacing w:after="0"/>
        <w:jc w:val="both"/>
        <w:textAlignment w:val="auto"/>
        <w:rPr>
          <w:rFonts w:ascii="Times New Roman" w:eastAsiaTheme="minorEastAsia" w:hAnsi="Times New Roman"/>
          <w:sz w:val="24"/>
          <w:szCs w:val="24"/>
          <w:lang w:eastAsia="hr-HR"/>
        </w:rPr>
      </w:pPr>
      <w:r w:rsidRPr="00123086">
        <w:rPr>
          <w:rFonts w:ascii="Times New Roman" w:eastAsiaTheme="minorEastAsia" w:hAnsi="Times New Roman"/>
          <w:sz w:val="24"/>
          <w:szCs w:val="24"/>
          <w:lang w:eastAsia="hr-HR"/>
        </w:rPr>
        <w:t xml:space="preserve">pružanje usluge odgoja i obrazovanja djece rane i predškolske dobi, odnosno redovitog deset satnog cjelovitog razvojnog programa odgoja i obrazovanja djece od navršene godine dana do polaska u školu </w:t>
      </w:r>
    </w:p>
    <w:p w:rsidR="00123086" w:rsidRPr="00123086" w:rsidRDefault="00123086" w:rsidP="00123086">
      <w:pPr>
        <w:numPr>
          <w:ilvl w:val="0"/>
          <w:numId w:val="5"/>
        </w:numPr>
        <w:suppressAutoHyphens w:val="0"/>
        <w:autoSpaceDN/>
        <w:spacing w:after="0"/>
        <w:jc w:val="both"/>
        <w:textAlignment w:val="auto"/>
        <w:rPr>
          <w:rFonts w:ascii="Times New Roman" w:eastAsiaTheme="minorEastAsia" w:hAnsi="Times New Roman"/>
          <w:sz w:val="24"/>
          <w:szCs w:val="24"/>
          <w:lang w:eastAsia="hr-HR"/>
        </w:rPr>
      </w:pPr>
      <w:r w:rsidRPr="00123086">
        <w:rPr>
          <w:rFonts w:ascii="Times New Roman" w:eastAsiaTheme="minorEastAsia" w:hAnsi="Times New Roman"/>
          <w:sz w:val="24"/>
          <w:szCs w:val="24"/>
          <w:lang w:eastAsia="hr-HR"/>
        </w:rPr>
        <w:t>zadovoljavanje potreba djece i osiguravanje uvjeta za njihov optimalan rast i razvoj, a također i zadovoljavanje potreba roditelja korisnika usluga vrtića</w:t>
      </w:r>
    </w:p>
    <w:p w:rsidR="00123086" w:rsidRPr="00123086" w:rsidRDefault="00123086" w:rsidP="00123086">
      <w:pPr>
        <w:numPr>
          <w:ilvl w:val="0"/>
          <w:numId w:val="5"/>
        </w:numPr>
        <w:suppressAutoHyphens w:val="0"/>
        <w:autoSpaceDN/>
        <w:spacing w:after="0"/>
        <w:jc w:val="both"/>
        <w:textAlignment w:val="auto"/>
        <w:rPr>
          <w:rFonts w:ascii="Times New Roman" w:eastAsiaTheme="minorEastAsia" w:hAnsi="Times New Roman"/>
          <w:sz w:val="24"/>
          <w:szCs w:val="24"/>
          <w:lang w:eastAsia="hr-HR"/>
        </w:rPr>
      </w:pPr>
      <w:r w:rsidRPr="00123086">
        <w:rPr>
          <w:rFonts w:ascii="Times New Roman" w:eastAsiaTheme="minorEastAsia" w:hAnsi="Times New Roman"/>
          <w:sz w:val="24"/>
          <w:szCs w:val="24"/>
          <w:lang w:eastAsia="hr-HR"/>
        </w:rPr>
        <w:t>osigurati financijska sredstva za zamjenu dotrajale opreme u svim objektima i opremanje prostora sukladno zakonskim standardima</w:t>
      </w:r>
    </w:p>
    <w:p w:rsidR="00123086" w:rsidRPr="00123086" w:rsidRDefault="00123086" w:rsidP="001230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3086" w:rsidRPr="00123086" w:rsidRDefault="00123086" w:rsidP="00123086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123086">
        <w:rPr>
          <w:rFonts w:ascii="Times New Roman" w:hAnsi="Times New Roman"/>
          <w:sz w:val="24"/>
          <w:szCs w:val="24"/>
          <w:u w:val="single"/>
        </w:rPr>
        <w:t>Pokazatelji uspješnosti</w:t>
      </w:r>
      <w:r w:rsidRPr="00123086">
        <w:rPr>
          <w:rFonts w:ascii="Times New Roman" w:hAnsi="Times New Roman"/>
          <w:sz w:val="24"/>
          <w:szCs w:val="24"/>
        </w:rPr>
        <w:t xml:space="preserve">: </w:t>
      </w:r>
    </w:p>
    <w:p w:rsidR="00FC734A" w:rsidRPr="00FC734A" w:rsidRDefault="00FC734A" w:rsidP="00FC734A">
      <w:pPr>
        <w:numPr>
          <w:ilvl w:val="0"/>
          <w:numId w:val="7"/>
        </w:numPr>
        <w:suppressAutoHyphens w:val="0"/>
        <w:autoSpaceDN/>
        <w:spacing w:before="40" w:after="0" w:line="259" w:lineRule="auto"/>
        <w:contextualSpacing/>
        <w:textAlignment w:val="auto"/>
        <w:rPr>
          <w:rFonts w:ascii="Times New Roman" w:hAnsi="Times New Roman"/>
          <w:kern w:val="20"/>
          <w:sz w:val="24"/>
          <w:szCs w:val="24"/>
        </w:rPr>
      </w:pPr>
      <w:r w:rsidRPr="00FC734A">
        <w:rPr>
          <w:rFonts w:ascii="Times New Roman" w:hAnsi="Times New Roman"/>
          <w:kern w:val="20"/>
          <w:sz w:val="24"/>
          <w:szCs w:val="24"/>
        </w:rPr>
        <w:t>Provedba mjera Državno pedagoškog standarda – oprema, pomoć stručnih suradnika;</w:t>
      </w:r>
    </w:p>
    <w:p w:rsidR="00FC734A" w:rsidRPr="00FC734A" w:rsidRDefault="00FC734A" w:rsidP="00FC734A">
      <w:pPr>
        <w:numPr>
          <w:ilvl w:val="0"/>
          <w:numId w:val="7"/>
        </w:numPr>
        <w:suppressAutoHyphens w:val="0"/>
        <w:autoSpaceDN/>
        <w:spacing w:before="40" w:after="0" w:line="259" w:lineRule="auto"/>
        <w:contextualSpacing/>
        <w:textAlignment w:val="auto"/>
        <w:rPr>
          <w:rFonts w:ascii="Times New Roman" w:hAnsi="Times New Roman"/>
          <w:kern w:val="20"/>
          <w:sz w:val="24"/>
          <w:szCs w:val="24"/>
        </w:rPr>
      </w:pPr>
      <w:r w:rsidRPr="00FC734A">
        <w:rPr>
          <w:rFonts w:ascii="Times New Roman" w:hAnsi="Times New Roman"/>
          <w:kern w:val="20"/>
          <w:sz w:val="24"/>
          <w:szCs w:val="24"/>
        </w:rPr>
        <w:t>Primjerena naknada za rad;</w:t>
      </w:r>
    </w:p>
    <w:p w:rsidR="00FC734A" w:rsidRPr="00FC734A" w:rsidRDefault="00FC734A" w:rsidP="00FC734A">
      <w:pPr>
        <w:numPr>
          <w:ilvl w:val="0"/>
          <w:numId w:val="7"/>
        </w:numPr>
        <w:suppressAutoHyphens w:val="0"/>
        <w:autoSpaceDN/>
        <w:spacing w:before="40" w:after="0" w:line="259" w:lineRule="auto"/>
        <w:contextualSpacing/>
        <w:textAlignment w:val="auto"/>
        <w:rPr>
          <w:rFonts w:ascii="Times New Roman" w:hAnsi="Times New Roman"/>
          <w:kern w:val="20"/>
          <w:sz w:val="24"/>
          <w:szCs w:val="24"/>
        </w:rPr>
      </w:pPr>
      <w:r w:rsidRPr="00FC734A">
        <w:rPr>
          <w:rFonts w:ascii="Times New Roman" w:hAnsi="Times New Roman"/>
          <w:kern w:val="20"/>
          <w:sz w:val="24"/>
          <w:szCs w:val="24"/>
        </w:rPr>
        <w:t>Osigurano napredovanje i stručno osposobljavanje zaposlenika;</w:t>
      </w:r>
    </w:p>
    <w:p w:rsidR="00123086" w:rsidRPr="00123086" w:rsidRDefault="00123086" w:rsidP="00123086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3086">
        <w:rPr>
          <w:rFonts w:ascii="Times New Roman" w:eastAsia="Times New Roman" w:hAnsi="Times New Roman"/>
          <w:color w:val="000000"/>
          <w:sz w:val="24"/>
          <w:szCs w:val="24"/>
        </w:rPr>
        <w:t>Uložena sredstva u uređenje minimalno 1 odgojne skupine</w:t>
      </w:r>
    </w:p>
    <w:p w:rsidR="00123086" w:rsidRDefault="00123086" w:rsidP="00123086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23086">
        <w:rPr>
          <w:rFonts w:ascii="Times New Roman" w:eastAsia="Times New Roman" w:hAnsi="Times New Roman"/>
          <w:color w:val="000000"/>
          <w:sz w:val="24"/>
          <w:szCs w:val="24"/>
        </w:rPr>
        <w:t xml:space="preserve">Broj upisane djece </w:t>
      </w:r>
    </w:p>
    <w:p w:rsidR="00FC734A" w:rsidRPr="00FC734A" w:rsidRDefault="00FC734A" w:rsidP="00123086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C734A">
        <w:rPr>
          <w:rFonts w:ascii="Times New Roman" w:hAnsi="Times New Roman"/>
          <w:sz w:val="24"/>
          <w:szCs w:val="24"/>
        </w:rPr>
        <w:lastRenderedPageBreak/>
        <w:t>Provođenje sigurnosnih mjera, sigurno i ispravno igralište, nabavka nove opreme, sigurno ograđivanje vanjskih prostor</w:t>
      </w:r>
      <w:r>
        <w:rPr>
          <w:rFonts w:ascii="Times New Roman" w:hAnsi="Times New Roman"/>
          <w:sz w:val="24"/>
          <w:szCs w:val="24"/>
        </w:rPr>
        <w:t>a</w:t>
      </w:r>
    </w:p>
    <w:p w:rsidR="00FC734A" w:rsidRPr="00123086" w:rsidRDefault="00FC734A" w:rsidP="00123086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C734A">
        <w:rPr>
          <w:rFonts w:ascii="Times New Roman" w:hAnsi="Times New Roman"/>
          <w:sz w:val="24"/>
          <w:szCs w:val="24"/>
        </w:rPr>
        <w:t>Nabava opreme za kuhinju</w:t>
      </w:r>
    </w:p>
    <w:p w:rsidR="00123086" w:rsidRPr="00123086" w:rsidRDefault="00123086" w:rsidP="00123086">
      <w:pPr>
        <w:spacing w:after="0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23086" w:rsidRPr="00123086" w:rsidRDefault="00123086" w:rsidP="00123086">
      <w:pPr>
        <w:widowControl w:val="0"/>
        <w:autoSpaceDN/>
        <w:spacing w:after="0"/>
        <w:jc w:val="both"/>
        <w:textAlignment w:val="auto"/>
        <w:rPr>
          <w:rFonts w:ascii="Times New Roman" w:eastAsia="Lucida Sans Unicode" w:hAnsi="Times New Roman"/>
          <w:color w:val="FF0000"/>
          <w:kern w:val="2"/>
          <w:sz w:val="24"/>
          <w:szCs w:val="24"/>
          <w:lang w:eastAsia="hi-IN" w:bidi="hi-IN"/>
        </w:rPr>
      </w:pPr>
      <w:r w:rsidRPr="00123086">
        <w:rPr>
          <w:rFonts w:ascii="Times New Roman" w:eastAsia="Lucida Sans Unicode" w:hAnsi="Times New Roman"/>
          <w:kern w:val="2"/>
          <w:sz w:val="24"/>
          <w:szCs w:val="24"/>
          <w:u w:val="single"/>
          <w:lang w:eastAsia="hi-IN" w:bidi="hi-IN"/>
        </w:rPr>
        <w:t xml:space="preserve">Sredstva za realizaciju: </w:t>
      </w:r>
      <w:r w:rsidRPr="0012308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Planirana su sredstva u ukupnom iznosu od </w:t>
      </w:r>
      <w:r w:rsidR="00396528" w:rsidRPr="00396528">
        <w:rPr>
          <w:rFonts w:ascii="Times New Roman" w:hAnsi="Times New Roman"/>
          <w:sz w:val="24"/>
          <w:szCs w:val="24"/>
        </w:rPr>
        <w:t>327.540,00</w:t>
      </w:r>
      <w:r w:rsidR="00396528" w:rsidRPr="000709F5">
        <w:t xml:space="preserve"> </w:t>
      </w:r>
      <w:r w:rsidRPr="00123086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EUR.</w:t>
      </w:r>
    </w:p>
    <w:p w:rsidR="00123086" w:rsidRPr="00123086" w:rsidRDefault="00123086" w:rsidP="001230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3086" w:rsidRPr="00123086" w:rsidRDefault="00123086" w:rsidP="001230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3086" w:rsidRPr="00123086" w:rsidRDefault="00123086" w:rsidP="001230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3086" w:rsidRPr="00123086" w:rsidRDefault="00123086" w:rsidP="001230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3086" w:rsidRPr="00123086" w:rsidRDefault="00123086" w:rsidP="001230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3086" w:rsidRPr="00123086" w:rsidRDefault="00123086" w:rsidP="001230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3086" w:rsidRPr="00123086" w:rsidRDefault="00123086" w:rsidP="001230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3086" w:rsidRPr="00123086" w:rsidRDefault="00123086" w:rsidP="001230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3086" w:rsidRPr="00123086" w:rsidRDefault="00123086" w:rsidP="00123086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sectPr w:rsidR="00123086" w:rsidRPr="00123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42BE8"/>
    <w:multiLevelType w:val="hybridMultilevel"/>
    <w:tmpl w:val="60260A0E"/>
    <w:lvl w:ilvl="0" w:tplc="2E98CE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605B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94B6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DAE3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1C6F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A2CA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ECEC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B813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6AD1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0408C"/>
    <w:multiLevelType w:val="hybridMultilevel"/>
    <w:tmpl w:val="848099A4"/>
    <w:lvl w:ilvl="0" w:tplc="AC3036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A2093"/>
    <w:multiLevelType w:val="hybridMultilevel"/>
    <w:tmpl w:val="530082B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E334386"/>
    <w:multiLevelType w:val="hybridMultilevel"/>
    <w:tmpl w:val="3E5219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C7854"/>
    <w:multiLevelType w:val="hybridMultilevel"/>
    <w:tmpl w:val="1F80E16A"/>
    <w:lvl w:ilvl="0" w:tplc="C18ED5A2">
      <w:start w:val="4"/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C536269"/>
    <w:multiLevelType w:val="hybridMultilevel"/>
    <w:tmpl w:val="508A3EF4"/>
    <w:lvl w:ilvl="0" w:tplc="7306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1415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80A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8842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E09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2AD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5C68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983F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A8CB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584FC8"/>
    <w:multiLevelType w:val="hybridMultilevel"/>
    <w:tmpl w:val="CEC621B6"/>
    <w:lvl w:ilvl="0" w:tplc="2E98CE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129E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AA0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C38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A063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4E57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3A13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FA29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AE98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43386D"/>
    <w:multiLevelType w:val="hybridMultilevel"/>
    <w:tmpl w:val="784ED03E"/>
    <w:lvl w:ilvl="0" w:tplc="69601B86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theme="majorHAnsi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27734B"/>
    <w:multiLevelType w:val="hybridMultilevel"/>
    <w:tmpl w:val="08C4CB0E"/>
    <w:lvl w:ilvl="0" w:tplc="73F03F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8B51DB"/>
    <w:multiLevelType w:val="hybridMultilevel"/>
    <w:tmpl w:val="F16EBB54"/>
    <w:lvl w:ilvl="0" w:tplc="3F5043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129E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AA0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C38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A063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4E57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3A13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FA29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AE98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E2037E"/>
    <w:multiLevelType w:val="hybridMultilevel"/>
    <w:tmpl w:val="C0EE15AA"/>
    <w:lvl w:ilvl="0" w:tplc="DDE8C84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EC"/>
    <w:rsid w:val="00123086"/>
    <w:rsid w:val="001D032B"/>
    <w:rsid w:val="00220441"/>
    <w:rsid w:val="00361D7A"/>
    <w:rsid w:val="00396528"/>
    <w:rsid w:val="003D7F0E"/>
    <w:rsid w:val="00517A42"/>
    <w:rsid w:val="00554078"/>
    <w:rsid w:val="005A120E"/>
    <w:rsid w:val="005F2A8D"/>
    <w:rsid w:val="00666404"/>
    <w:rsid w:val="00815437"/>
    <w:rsid w:val="009944D8"/>
    <w:rsid w:val="00A52785"/>
    <w:rsid w:val="00B143A2"/>
    <w:rsid w:val="00CE4139"/>
    <w:rsid w:val="00D445EC"/>
    <w:rsid w:val="00DE719A"/>
    <w:rsid w:val="00DF49EF"/>
    <w:rsid w:val="00EB69C9"/>
    <w:rsid w:val="00ED4DED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EBDF7-9A06-42F4-8BF2-9FDC1ACD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445E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body">
    <w:name w:val="Text body"/>
    <w:basedOn w:val="Normal"/>
    <w:rsid w:val="00D445EC"/>
    <w:pPr>
      <w:spacing w:after="120"/>
      <w:textAlignment w:val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9944D8"/>
    <w:pPr>
      <w:widowControl w:val="0"/>
      <w:suppressAutoHyphens/>
      <w:autoSpaceDN w:val="0"/>
      <w:spacing w:line="254" w:lineRule="auto"/>
    </w:pPr>
    <w:rPr>
      <w:rFonts w:ascii="Calibri" w:eastAsia="SimSun" w:hAnsi="Calibri" w:cs="Tahoma"/>
      <w:kern w:val="3"/>
    </w:rPr>
  </w:style>
  <w:style w:type="paragraph" w:styleId="Odlomakpopisa">
    <w:name w:val="List Paragraph"/>
    <w:basedOn w:val="Normal"/>
    <w:uiPriority w:val="34"/>
    <w:qFormat/>
    <w:rsid w:val="00815437"/>
    <w:pPr>
      <w:suppressAutoHyphens w:val="0"/>
      <w:autoSpaceDN/>
      <w:spacing w:after="0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15437"/>
    <w:rPr>
      <w:color w:val="0000FF"/>
      <w:u w:val="single"/>
    </w:rPr>
  </w:style>
  <w:style w:type="paragraph" w:customStyle="1" w:styleId="Odlomakpopisa1">
    <w:name w:val="Odlomak popisa1"/>
    <w:basedOn w:val="Normal"/>
    <w:uiPriority w:val="34"/>
    <w:unhideWhenUsed/>
    <w:qFormat/>
    <w:rsid w:val="00123086"/>
    <w:pPr>
      <w:suppressAutoHyphens w:val="0"/>
      <w:autoSpaceDN/>
      <w:spacing w:before="40" w:line="288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EB6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7968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47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82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80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032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82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398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3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509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941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17_10_102_2349.html" TargetMode="External"/><Relationship Id="rId13" Type="http://schemas.openxmlformats.org/officeDocument/2006/relationships/hyperlink" Target="http://narodne-novine.nn.hr/clanci/sluzbeni/full/2015_12_135_2540.html" TargetMode="External"/><Relationship Id="rId18" Type="http://schemas.openxmlformats.org/officeDocument/2006/relationships/hyperlink" Target="http://narodne-novine.nn.hr/clanci/sluzbeni/2010_02_26_610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narodne-novine.nn.hr/clanci/sluzbeni/full/2014_10_124_2374.html" TargetMode="External"/><Relationship Id="rId7" Type="http://schemas.openxmlformats.org/officeDocument/2006/relationships/hyperlink" Target="http://narodne-novine.nn.hr/clanci/sluzbeni/2013_02_24_396.html" TargetMode="External"/><Relationship Id="rId12" Type="http://schemas.openxmlformats.org/officeDocument/2006/relationships/hyperlink" Target="http://narodne-novine.nn.hr/clanci/sluzbeni/full/2015_08_93_1798.html" TargetMode="External"/><Relationship Id="rId17" Type="http://schemas.openxmlformats.org/officeDocument/2006/relationships/hyperlink" Target="https://narodne-novine.nn.hr/clanci/sluzbeni/full/2019_12_126_2540.html" TargetMode="External"/><Relationship Id="rId25" Type="http://schemas.openxmlformats.org/officeDocument/2006/relationships/hyperlink" Target="https://narodne-novine.nn.hr/clanci/sluzbeni/full/2019_12_126_253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arodne-novine.nn.hr/clanci/sluzbeni/full/2018_12_112_2175.html" TargetMode="External"/><Relationship Id="rId20" Type="http://schemas.openxmlformats.org/officeDocument/2006/relationships/hyperlink" Target="https://narodne-novine.nn.hr/clanci/sluzbeni/full/2020_01_1_9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narodne-novine.nn.hr/clanci/sluzbeni/2015_01_3_59.html" TargetMode="External"/><Relationship Id="rId24" Type="http://schemas.openxmlformats.org/officeDocument/2006/relationships/hyperlink" Target="https://narodne-novine.nn.hr/clanci/sluzbeni/full/2018_01_3_11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arodne-novine.nn.hr/clanci/sluzbeni/full/2017_03_28_642.html" TargetMode="External"/><Relationship Id="rId23" Type="http://schemas.openxmlformats.org/officeDocument/2006/relationships/hyperlink" Target="http://narodne-novine.nn.hr/clanci/sluzbeni/full/2016_09_87_1886.html" TargetMode="External"/><Relationship Id="rId10" Type="http://schemas.openxmlformats.org/officeDocument/2006/relationships/hyperlink" Target="https://narodne-novine.nn.hr/clanci/sluzbeni/full/2020_12_147_2858.html" TargetMode="External"/><Relationship Id="rId19" Type="http://schemas.openxmlformats.org/officeDocument/2006/relationships/hyperlink" Target="http://narodne-novine.nn.hr/clanci/sluzbeni/2013_09_120_258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full/2020_01_1_10.html" TargetMode="External"/><Relationship Id="rId14" Type="http://schemas.openxmlformats.org/officeDocument/2006/relationships/hyperlink" Target="http://narodne-novine.nn.hr/clanci/sluzbeni/full/2017_01_2_58.html" TargetMode="External"/><Relationship Id="rId22" Type="http://schemas.openxmlformats.org/officeDocument/2006/relationships/hyperlink" Target="http://narodne-novine.nn.hr/clanci/sluzbeni/full/2015_10_115_2198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A62E8-AC27-4A19-8425-538AE51F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2266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9</cp:revision>
  <dcterms:created xsi:type="dcterms:W3CDTF">2022-11-05T09:44:00Z</dcterms:created>
  <dcterms:modified xsi:type="dcterms:W3CDTF">2022-11-15T00:18:00Z</dcterms:modified>
</cp:coreProperties>
</file>